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06B41" w14:textId="77777777" w:rsidR="00767339" w:rsidRDefault="00767339" w:rsidP="00767339">
      <w:pPr>
        <w:pStyle w:val="En-tte"/>
        <w:jc w:val="right"/>
        <w:rPr>
          <w:noProof/>
          <w:lang w:eastAsia="en-GB"/>
        </w:rPr>
      </w:pPr>
      <w:r>
        <w:tab/>
      </w:r>
      <w:r>
        <w:rPr>
          <w:noProof/>
          <w:lang w:eastAsia="en-GB"/>
        </w:rPr>
        <w:t xml:space="preserve"> </w:t>
      </w:r>
    </w:p>
    <w:p w14:paraId="1E2F8451" w14:textId="77777777" w:rsidR="00767339" w:rsidRDefault="00767339" w:rsidP="00767339">
      <w:pPr>
        <w:pStyle w:val="En-tte"/>
        <w:jc w:val="right"/>
        <w:rPr>
          <w:noProof/>
          <w:lang w:eastAsia="en-GB"/>
        </w:rPr>
      </w:pPr>
    </w:p>
    <w:p w14:paraId="1FF3D9E4" w14:textId="77777777" w:rsidR="00767339" w:rsidRDefault="00767339" w:rsidP="00767339">
      <w:pPr>
        <w:pStyle w:val="En-tte"/>
        <w:jc w:val="right"/>
        <w:rPr>
          <w:noProof/>
          <w:lang w:eastAsia="en-GB"/>
        </w:rPr>
      </w:pPr>
    </w:p>
    <w:p w14:paraId="68FAB7B9" w14:textId="77777777" w:rsidR="00767339" w:rsidRPr="00767339" w:rsidRDefault="00767339" w:rsidP="00767339">
      <w:pPr>
        <w:pBdr>
          <w:bottom w:val="single" w:sz="8" w:space="4" w:color="4F81BD" w:themeColor="accent1"/>
        </w:pBdr>
        <w:spacing w:before="120" w:after="300" w:line="240" w:lineRule="auto"/>
        <w:contextualSpacing/>
        <w:jc w:val="both"/>
        <w:rPr>
          <w:rFonts w:asciiTheme="majorHAnsi" w:eastAsiaTheme="majorEastAsia" w:hAnsiTheme="majorHAnsi" w:cstheme="majorBidi"/>
          <w:noProof/>
          <w:color w:val="17365D" w:themeColor="text2" w:themeShade="BF"/>
          <w:spacing w:val="5"/>
          <w:kern w:val="28"/>
          <w:sz w:val="52"/>
          <w:szCs w:val="52"/>
        </w:rPr>
      </w:pPr>
      <w:r w:rsidRPr="00767339">
        <w:rPr>
          <w:rFonts w:asciiTheme="majorHAnsi" w:eastAsiaTheme="majorEastAsia" w:hAnsiTheme="majorHAnsi" w:cstheme="majorBidi"/>
          <w:noProof/>
          <w:color w:val="17365D" w:themeColor="text2" w:themeShade="BF"/>
          <w:spacing w:val="5"/>
          <w:kern w:val="28"/>
          <w:sz w:val="52"/>
          <w:szCs w:val="52"/>
        </w:rPr>
        <w:fldChar w:fldCharType="begin"/>
      </w:r>
      <w:r w:rsidRPr="00767339">
        <w:rPr>
          <w:rFonts w:asciiTheme="majorHAnsi" w:eastAsiaTheme="majorEastAsia" w:hAnsiTheme="majorHAnsi" w:cstheme="majorBidi"/>
          <w:noProof/>
          <w:color w:val="17365D" w:themeColor="text2" w:themeShade="BF"/>
          <w:spacing w:val="5"/>
          <w:kern w:val="28"/>
          <w:sz w:val="52"/>
          <w:szCs w:val="52"/>
        </w:rPr>
        <w:instrText xml:space="preserve"> TITLE   \* MERGEFORMAT </w:instrText>
      </w:r>
      <w:r w:rsidRPr="00767339">
        <w:rPr>
          <w:rFonts w:asciiTheme="majorHAnsi" w:eastAsiaTheme="majorEastAsia" w:hAnsiTheme="majorHAnsi" w:cstheme="majorBidi"/>
          <w:noProof/>
          <w:color w:val="17365D" w:themeColor="text2" w:themeShade="BF"/>
          <w:spacing w:val="5"/>
          <w:kern w:val="28"/>
          <w:sz w:val="52"/>
          <w:szCs w:val="52"/>
        </w:rPr>
        <w:fldChar w:fldCharType="separate"/>
      </w:r>
      <w:r>
        <w:rPr>
          <w:rFonts w:asciiTheme="majorHAnsi" w:eastAsiaTheme="majorEastAsia" w:hAnsiTheme="majorHAnsi" w:cstheme="majorBidi"/>
          <w:noProof/>
          <w:color w:val="17365D" w:themeColor="text2" w:themeShade="BF"/>
          <w:spacing w:val="5"/>
          <w:kern w:val="28"/>
          <w:sz w:val="52"/>
          <w:szCs w:val="52"/>
        </w:rPr>
        <w:t>MiFID II</w:t>
      </w:r>
      <w:r w:rsidRPr="00767339">
        <w:rPr>
          <w:rFonts w:asciiTheme="majorHAnsi" w:eastAsiaTheme="majorEastAsia" w:hAnsiTheme="majorHAnsi" w:cstheme="majorBidi"/>
          <w:noProof/>
          <w:color w:val="17365D" w:themeColor="text2" w:themeShade="BF"/>
          <w:spacing w:val="5"/>
          <w:kern w:val="28"/>
          <w:sz w:val="52"/>
          <w:szCs w:val="52"/>
        </w:rPr>
        <w:fldChar w:fldCharType="end"/>
      </w:r>
      <w:r w:rsidRPr="00767339">
        <w:rPr>
          <w:rFonts w:asciiTheme="majorHAnsi" w:eastAsiaTheme="majorEastAsia" w:hAnsiTheme="majorHAnsi" w:cstheme="majorBidi"/>
          <w:noProof/>
          <w:color w:val="17365D" w:themeColor="text2" w:themeShade="BF"/>
          <w:spacing w:val="5"/>
          <w:kern w:val="28"/>
          <w:sz w:val="52"/>
          <w:szCs w:val="52"/>
        </w:rPr>
        <w:t xml:space="preserve"> </w:t>
      </w:r>
    </w:p>
    <w:p w14:paraId="75672160" w14:textId="77777777" w:rsidR="00767339" w:rsidRPr="00767339" w:rsidRDefault="00767339" w:rsidP="00767339">
      <w:pPr>
        <w:pStyle w:val="Default"/>
        <w:spacing w:line="276" w:lineRule="auto"/>
        <w:jc w:val="both"/>
        <w:rPr>
          <w:rFonts w:asciiTheme="majorHAnsi" w:eastAsiaTheme="majorEastAsia" w:hAnsiTheme="majorHAnsi" w:cstheme="majorBidi"/>
          <w:noProof/>
          <w:color w:val="17365D" w:themeColor="text2" w:themeShade="BF"/>
          <w:spacing w:val="5"/>
          <w:kern w:val="28"/>
          <w:sz w:val="52"/>
          <w:szCs w:val="52"/>
        </w:rPr>
      </w:pPr>
      <w:r w:rsidRPr="00767339">
        <w:rPr>
          <w:rFonts w:asciiTheme="majorHAnsi" w:eastAsiaTheme="majorEastAsia" w:hAnsiTheme="majorHAnsi" w:cstheme="majorBidi"/>
          <w:noProof/>
          <w:color w:val="17365D" w:themeColor="text2" w:themeShade="BF"/>
          <w:spacing w:val="5"/>
          <w:kern w:val="28"/>
          <w:sz w:val="52"/>
          <w:szCs w:val="52"/>
        </w:rPr>
        <w:t xml:space="preserve">Annual publication of information on the identity of execution venues </w:t>
      </w:r>
      <w:r>
        <w:rPr>
          <w:rFonts w:asciiTheme="majorHAnsi" w:eastAsiaTheme="majorEastAsia" w:hAnsiTheme="majorHAnsi" w:cstheme="majorBidi"/>
          <w:noProof/>
          <w:color w:val="17365D" w:themeColor="text2" w:themeShade="BF"/>
          <w:spacing w:val="5"/>
          <w:kern w:val="28"/>
          <w:sz w:val="52"/>
          <w:szCs w:val="52"/>
        </w:rPr>
        <w:t>and on the quality of execution</w:t>
      </w:r>
    </w:p>
    <w:p w14:paraId="107852AB" w14:textId="77777777" w:rsidR="00767339" w:rsidRPr="00767339" w:rsidRDefault="00767339" w:rsidP="00767339">
      <w:pPr>
        <w:pBdr>
          <w:bottom w:val="single" w:sz="8" w:space="4" w:color="4F81BD" w:themeColor="accent1"/>
        </w:pBdr>
        <w:spacing w:before="120" w:after="300" w:line="240" w:lineRule="auto"/>
        <w:contextualSpacing/>
        <w:jc w:val="both"/>
        <w:rPr>
          <w:sz w:val="20"/>
        </w:rPr>
      </w:pPr>
      <w:r w:rsidRPr="00767339">
        <w:rPr>
          <w:rFonts w:asciiTheme="majorHAnsi" w:eastAsiaTheme="majorEastAsia" w:hAnsiTheme="majorHAnsi" w:cstheme="majorBidi"/>
          <w:noProof/>
          <w:color w:val="17365D" w:themeColor="text2" w:themeShade="BF"/>
          <w:spacing w:val="5"/>
          <w:kern w:val="28"/>
          <w:sz w:val="52"/>
          <w:szCs w:val="52"/>
        </w:rPr>
        <w:t xml:space="preserve"> </w:t>
      </w:r>
    </w:p>
    <w:p w14:paraId="73082816" w14:textId="77777777" w:rsidR="00767339" w:rsidRDefault="00767339" w:rsidP="00767339">
      <w:pPr>
        <w:spacing w:before="120" w:after="0" w:line="264" w:lineRule="auto"/>
        <w:jc w:val="both"/>
        <w:rPr>
          <w:b/>
          <w:sz w:val="40"/>
          <w:szCs w:val="40"/>
        </w:rPr>
      </w:pPr>
    </w:p>
    <w:p w14:paraId="1AF6B627" w14:textId="77777777" w:rsidR="00767339" w:rsidRPr="00767339" w:rsidRDefault="00767339" w:rsidP="00767339">
      <w:pPr>
        <w:spacing w:before="120" w:after="0" w:line="264" w:lineRule="auto"/>
        <w:jc w:val="both"/>
        <w:rPr>
          <w:rFonts w:asciiTheme="majorHAnsi" w:eastAsiaTheme="majorEastAsia" w:hAnsiTheme="majorHAnsi" w:cstheme="majorBidi"/>
          <w:noProof/>
          <w:color w:val="17365D" w:themeColor="text2" w:themeShade="BF"/>
          <w:spacing w:val="5"/>
          <w:kern w:val="28"/>
          <w:sz w:val="52"/>
          <w:szCs w:val="52"/>
        </w:rPr>
      </w:pPr>
      <w:r w:rsidRPr="00767339">
        <w:rPr>
          <w:rFonts w:asciiTheme="majorHAnsi" w:eastAsiaTheme="majorEastAsia" w:hAnsiTheme="majorHAnsi" w:cstheme="majorBidi"/>
          <w:noProof/>
          <w:color w:val="17365D" w:themeColor="text2" w:themeShade="BF"/>
          <w:spacing w:val="5"/>
          <w:kern w:val="28"/>
          <w:sz w:val="52"/>
          <w:szCs w:val="52"/>
        </w:rPr>
        <w:t>20</w:t>
      </w:r>
      <w:r w:rsidR="00A536C5">
        <w:rPr>
          <w:rFonts w:asciiTheme="majorHAnsi" w:eastAsiaTheme="majorEastAsia" w:hAnsiTheme="majorHAnsi" w:cstheme="majorBidi"/>
          <w:noProof/>
          <w:color w:val="17365D" w:themeColor="text2" w:themeShade="BF"/>
          <w:spacing w:val="5"/>
          <w:kern w:val="28"/>
          <w:sz w:val="52"/>
          <w:szCs w:val="52"/>
        </w:rPr>
        <w:t>2</w:t>
      </w:r>
      <w:r w:rsidR="00A47D74">
        <w:rPr>
          <w:rFonts w:asciiTheme="majorHAnsi" w:eastAsiaTheme="majorEastAsia" w:hAnsiTheme="majorHAnsi" w:cstheme="majorBidi"/>
          <w:noProof/>
          <w:color w:val="17365D" w:themeColor="text2" w:themeShade="BF"/>
          <w:spacing w:val="5"/>
          <w:kern w:val="28"/>
          <w:sz w:val="52"/>
          <w:szCs w:val="52"/>
        </w:rPr>
        <w:t>1</w:t>
      </w:r>
    </w:p>
    <w:p w14:paraId="05B6A7D9" w14:textId="77777777" w:rsidR="00767339" w:rsidRDefault="00767339" w:rsidP="00767339">
      <w:pPr>
        <w:spacing w:before="120" w:after="0" w:line="264" w:lineRule="auto"/>
        <w:jc w:val="both"/>
        <w:rPr>
          <w:b/>
          <w:sz w:val="40"/>
          <w:szCs w:val="40"/>
        </w:rPr>
      </w:pPr>
    </w:p>
    <w:p w14:paraId="4B51F3B7" w14:textId="77777777" w:rsidR="00767339" w:rsidRDefault="00767339" w:rsidP="00767339">
      <w:pPr>
        <w:spacing w:before="120" w:after="0" w:line="264" w:lineRule="auto"/>
        <w:jc w:val="both"/>
        <w:rPr>
          <w:b/>
          <w:sz w:val="40"/>
          <w:szCs w:val="40"/>
        </w:rPr>
      </w:pPr>
    </w:p>
    <w:p w14:paraId="21FFA30D" w14:textId="77777777" w:rsidR="00767339" w:rsidRPr="00767339" w:rsidRDefault="00767339" w:rsidP="00767339">
      <w:pPr>
        <w:spacing w:before="120" w:after="0" w:line="264" w:lineRule="auto"/>
        <w:jc w:val="both"/>
        <w:rPr>
          <w:sz w:val="20"/>
        </w:rPr>
      </w:pPr>
    </w:p>
    <w:p w14:paraId="671EEEF4" w14:textId="77777777" w:rsidR="00767339" w:rsidRDefault="00767339" w:rsidP="00767339">
      <w:pPr>
        <w:spacing w:before="120" w:after="0" w:line="264" w:lineRule="auto"/>
        <w:jc w:val="both"/>
        <w:rPr>
          <w:rFonts w:asciiTheme="majorHAnsi" w:hAnsiTheme="majorHAnsi"/>
          <w:sz w:val="36"/>
          <w:szCs w:val="36"/>
        </w:rPr>
      </w:pPr>
    </w:p>
    <w:p w14:paraId="28C2008D" w14:textId="77777777" w:rsidR="00767339" w:rsidRDefault="00767339" w:rsidP="00767339">
      <w:pPr>
        <w:spacing w:before="120" w:after="0" w:line="264" w:lineRule="auto"/>
        <w:jc w:val="both"/>
        <w:rPr>
          <w:rFonts w:asciiTheme="majorHAnsi" w:hAnsiTheme="majorHAnsi"/>
          <w:sz w:val="36"/>
          <w:szCs w:val="36"/>
        </w:rPr>
      </w:pPr>
    </w:p>
    <w:p w14:paraId="359BE901" w14:textId="77777777" w:rsidR="00F36363" w:rsidRDefault="00F36363" w:rsidP="00767339">
      <w:pPr>
        <w:spacing w:before="120" w:after="0" w:line="264" w:lineRule="auto"/>
        <w:jc w:val="both"/>
        <w:rPr>
          <w:rFonts w:asciiTheme="majorHAnsi" w:hAnsiTheme="majorHAnsi"/>
          <w:sz w:val="36"/>
          <w:szCs w:val="36"/>
        </w:rPr>
      </w:pPr>
    </w:p>
    <w:p w14:paraId="3946A5A7" w14:textId="77777777" w:rsidR="000820BD" w:rsidRDefault="000820BD" w:rsidP="00767339">
      <w:pPr>
        <w:spacing w:before="120" w:after="0" w:line="264" w:lineRule="auto"/>
        <w:jc w:val="both"/>
        <w:rPr>
          <w:rFonts w:asciiTheme="majorHAnsi" w:hAnsiTheme="majorHAnsi"/>
          <w:sz w:val="36"/>
          <w:szCs w:val="36"/>
        </w:rPr>
      </w:pPr>
    </w:p>
    <w:p w14:paraId="664DCCC9" w14:textId="77777777" w:rsidR="000820BD" w:rsidRDefault="000820BD" w:rsidP="00767339">
      <w:pPr>
        <w:spacing w:before="120" w:after="0" w:line="264" w:lineRule="auto"/>
        <w:jc w:val="both"/>
        <w:rPr>
          <w:rFonts w:asciiTheme="majorHAnsi" w:hAnsiTheme="majorHAnsi"/>
          <w:sz w:val="36"/>
          <w:szCs w:val="36"/>
        </w:rPr>
      </w:pPr>
    </w:p>
    <w:p w14:paraId="51B6220C" w14:textId="77777777" w:rsidR="00F36363" w:rsidRDefault="00F36363" w:rsidP="00767339">
      <w:pPr>
        <w:spacing w:before="120" w:after="0" w:line="264" w:lineRule="auto"/>
        <w:jc w:val="both"/>
        <w:rPr>
          <w:rFonts w:asciiTheme="majorHAnsi" w:hAnsiTheme="majorHAnsi"/>
          <w:sz w:val="36"/>
          <w:szCs w:val="36"/>
        </w:rPr>
      </w:pPr>
    </w:p>
    <w:p w14:paraId="5344F6D5" w14:textId="77777777" w:rsidR="00F36363" w:rsidRDefault="00F36363" w:rsidP="00767339">
      <w:pPr>
        <w:spacing w:before="120" w:after="0" w:line="264" w:lineRule="auto"/>
        <w:jc w:val="both"/>
        <w:rPr>
          <w:rFonts w:asciiTheme="majorHAnsi" w:hAnsiTheme="majorHAnsi"/>
          <w:sz w:val="36"/>
          <w:szCs w:val="36"/>
        </w:rPr>
      </w:pPr>
    </w:p>
    <w:p w14:paraId="17BE265E" w14:textId="77777777" w:rsidR="00F36363" w:rsidRDefault="00F36363" w:rsidP="00767339">
      <w:pPr>
        <w:spacing w:before="120" w:after="0" w:line="264" w:lineRule="auto"/>
        <w:jc w:val="both"/>
        <w:rPr>
          <w:rFonts w:asciiTheme="majorHAnsi" w:hAnsiTheme="majorHAnsi"/>
          <w:sz w:val="36"/>
          <w:szCs w:val="36"/>
        </w:rPr>
      </w:pPr>
    </w:p>
    <w:p w14:paraId="74D2A795" w14:textId="77777777" w:rsidR="00767339" w:rsidRDefault="00767339" w:rsidP="00767339">
      <w:pPr>
        <w:spacing w:before="120" w:after="0" w:line="264" w:lineRule="auto"/>
        <w:jc w:val="both"/>
        <w:rPr>
          <w:rFonts w:asciiTheme="majorHAnsi" w:hAnsiTheme="majorHAnsi"/>
          <w:sz w:val="36"/>
          <w:szCs w:val="36"/>
        </w:rPr>
      </w:pPr>
    </w:p>
    <w:p w14:paraId="5073EB40" w14:textId="77777777" w:rsidR="00767339" w:rsidRDefault="00767339" w:rsidP="00767339">
      <w:pPr>
        <w:spacing w:before="120" w:after="0" w:line="264" w:lineRule="auto"/>
        <w:jc w:val="both"/>
        <w:rPr>
          <w:rFonts w:asciiTheme="majorHAnsi" w:hAnsiTheme="majorHAnsi"/>
          <w:sz w:val="36"/>
          <w:szCs w:val="36"/>
        </w:rPr>
      </w:pPr>
    </w:p>
    <w:p w14:paraId="0A14D44A" w14:textId="77777777" w:rsidR="00767339" w:rsidRDefault="00767339" w:rsidP="00767339">
      <w:pPr>
        <w:spacing w:before="120" w:after="0" w:line="264" w:lineRule="auto"/>
        <w:jc w:val="both"/>
        <w:rPr>
          <w:rFonts w:asciiTheme="majorHAnsi" w:hAnsiTheme="majorHAnsi"/>
          <w:sz w:val="36"/>
          <w:szCs w:val="36"/>
        </w:rPr>
      </w:pPr>
    </w:p>
    <w:p w14:paraId="5C20CCC9" w14:textId="77777777" w:rsidR="00767339" w:rsidRDefault="00767339" w:rsidP="00767339">
      <w:pPr>
        <w:spacing w:before="120" w:after="0" w:line="264" w:lineRule="auto"/>
        <w:jc w:val="both"/>
        <w:rPr>
          <w:rFonts w:asciiTheme="majorHAnsi" w:hAnsiTheme="majorHAnsi"/>
          <w:sz w:val="36"/>
          <w:szCs w:val="36"/>
        </w:rPr>
      </w:pPr>
    </w:p>
    <w:p w14:paraId="715D13CF" w14:textId="77777777" w:rsidR="00767339" w:rsidRDefault="00767339" w:rsidP="00767339">
      <w:pPr>
        <w:spacing w:before="120" w:after="0" w:line="264" w:lineRule="auto"/>
        <w:jc w:val="both"/>
        <w:rPr>
          <w:rFonts w:asciiTheme="majorHAnsi" w:hAnsiTheme="majorHAnsi"/>
          <w:sz w:val="36"/>
          <w:szCs w:val="36"/>
        </w:rPr>
      </w:pPr>
    </w:p>
    <w:sdt>
      <w:sdtPr>
        <w:rPr>
          <w:rFonts w:asciiTheme="minorHAnsi" w:eastAsiaTheme="minorEastAsia" w:hAnsiTheme="minorHAnsi" w:cstheme="minorBidi"/>
          <w:b w:val="0"/>
          <w:bCs w:val="0"/>
          <w:color w:val="auto"/>
          <w:sz w:val="22"/>
          <w:szCs w:val="22"/>
        </w:rPr>
        <w:id w:val="1218937029"/>
        <w:docPartObj>
          <w:docPartGallery w:val="Table of Contents"/>
          <w:docPartUnique/>
        </w:docPartObj>
      </w:sdtPr>
      <w:sdtEndPr>
        <w:rPr>
          <w:color w:val="1F497D" w:themeColor="text2"/>
        </w:rPr>
      </w:sdtEndPr>
      <w:sdtContent>
        <w:p w14:paraId="1ACDCF68" w14:textId="77777777" w:rsidR="00475252" w:rsidRDefault="00475252" w:rsidP="00475252">
          <w:pPr>
            <w:pStyle w:val="En-ttedetabledesmatires"/>
          </w:pPr>
          <w:r>
            <w:t>Table of Contents</w:t>
          </w:r>
        </w:p>
        <w:p w14:paraId="649A8F23" w14:textId="77777777" w:rsidR="00E31F5C" w:rsidRPr="00E31F5C" w:rsidRDefault="00E31F5C" w:rsidP="00E31F5C">
          <w:pPr>
            <w:rPr>
              <w:lang w:val="en-US" w:eastAsia="ja-JP"/>
            </w:rPr>
          </w:pPr>
        </w:p>
        <w:p w14:paraId="18722110" w14:textId="77777777" w:rsidR="00475252" w:rsidRPr="00E31F5C" w:rsidRDefault="00475252" w:rsidP="00475252">
          <w:pPr>
            <w:pStyle w:val="TM1"/>
            <w:numPr>
              <w:ilvl w:val="0"/>
              <w:numId w:val="20"/>
            </w:numPr>
            <w:rPr>
              <w:b/>
              <w:color w:val="1F497D" w:themeColor="text2"/>
            </w:rPr>
          </w:pPr>
          <w:r w:rsidRPr="00E31F5C">
            <w:rPr>
              <w:rFonts w:asciiTheme="majorHAnsi" w:eastAsiaTheme="majorEastAsia" w:hAnsiTheme="majorHAnsi" w:cstheme="majorBidi"/>
              <w:b/>
              <w:bCs/>
              <w:color w:val="1F497D" w:themeColor="text2"/>
              <w:sz w:val="28"/>
              <w:szCs w:val="28"/>
            </w:rPr>
            <w:t>Background</w:t>
          </w:r>
          <w:r w:rsidRPr="00E31F5C" w:rsidDel="00767339">
            <w:rPr>
              <w:rFonts w:asciiTheme="majorHAnsi" w:eastAsiaTheme="majorEastAsia" w:hAnsiTheme="majorHAnsi" w:cstheme="majorBidi"/>
              <w:b/>
              <w:bCs/>
              <w:color w:val="1F497D" w:themeColor="text2"/>
              <w:sz w:val="28"/>
              <w:szCs w:val="28"/>
            </w:rPr>
            <w:t xml:space="preserve"> </w:t>
          </w:r>
          <w:r w:rsidRPr="00E31F5C">
            <w:rPr>
              <w:rFonts w:asciiTheme="majorHAnsi" w:eastAsiaTheme="majorEastAsia" w:hAnsiTheme="majorHAnsi" w:cstheme="majorBidi"/>
              <w:b/>
              <w:bCs/>
              <w:color w:val="1F497D" w:themeColor="text2"/>
              <w:sz w:val="28"/>
              <w:szCs w:val="28"/>
            </w:rPr>
            <w:t xml:space="preserve"> </w:t>
          </w:r>
          <w:r w:rsidRPr="00E31F5C">
            <w:rPr>
              <w:b/>
              <w:color w:val="1F497D" w:themeColor="text2"/>
            </w:rPr>
            <w:ptab w:relativeTo="margin" w:alignment="right" w:leader="dot"/>
          </w:r>
          <w:r w:rsidR="003108B4">
            <w:rPr>
              <w:b/>
              <w:bCs/>
              <w:color w:val="1F497D" w:themeColor="text2"/>
            </w:rPr>
            <w:t>3</w:t>
          </w:r>
        </w:p>
        <w:p w14:paraId="6D6B1324" w14:textId="77777777" w:rsidR="00475252" w:rsidRPr="00E31F5C" w:rsidRDefault="00475252" w:rsidP="00475252">
          <w:pPr>
            <w:pStyle w:val="TM1"/>
            <w:numPr>
              <w:ilvl w:val="0"/>
              <w:numId w:val="20"/>
            </w:numPr>
            <w:rPr>
              <w:b/>
              <w:color w:val="1F497D" w:themeColor="text2"/>
            </w:rPr>
          </w:pPr>
          <w:r w:rsidRPr="00E31F5C">
            <w:rPr>
              <w:rFonts w:asciiTheme="majorHAnsi" w:eastAsiaTheme="majorEastAsia" w:hAnsiTheme="majorHAnsi" w:cstheme="majorBidi"/>
              <w:b/>
              <w:bCs/>
              <w:color w:val="1F497D" w:themeColor="text2"/>
              <w:sz w:val="28"/>
              <w:szCs w:val="28"/>
            </w:rPr>
            <w:t>Scope</w:t>
          </w:r>
          <w:r w:rsidRPr="00E31F5C">
            <w:rPr>
              <w:b/>
              <w:color w:val="1F497D" w:themeColor="text2"/>
            </w:rPr>
            <w:ptab w:relativeTo="margin" w:alignment="right" w:leader="dot"/>
          </w:r>
          <w:r w:rsidR="003108B4">
            <w:rPr>
              <w:b/>
              <w:bCs/>
              <w:color w:val="1F497D" w:themeColor="text2"/>
            </w:rPr>
            <w:t>3</w:t>
          </w:r>
        </w:p>
        <w:p w14:paraId="3FCA2BFD" w14:textId="77777777" w:rsidR="00475252" w:rsidRPr="00E31F5C" w:rsidRDefault="00475252" w:rsidP="00475252">
          <w:pPr>
            <w:pStyle w:val="TM2"/>
            <w:numPr>
              <w:ilvl w:val="0"/>
              <w:numId w:val="20"/>
            </w:numPr>
            <w:rPr>
              <w:b/>
              <w:color w:val="1F497D" w:themeColor="text2"/>
            </w:rPr>
          </w:pPr>
          <w:r w:rsidRPr="00E31F5C">
            <w:rPr>
              <w:rFonts w:asciiTheme="majorHAnsi" w:eastAsiaTheme="majorEastAsia" w:hAnsiTheme="majorHAnsi" w:cstheme="majorBidi"/>
              <w:b/>
              <w:bCs/>
              <w:color w:val="1F497D" w:themeColor="text2"/>
              <w:sz w:val="28"/>
              <w:szCs w:val="28"/>
            </w:rPr>
            <w:t>Part I: The top five execution venues details</w:t>
          </w:r>
          <w:r w:rsidR="003108B4">
            <w:rPr>
              <w:rFonts w:asciiTheme="majorHAnsi" w:eastAsiaTheme="majorEastAsia" w:hAnsiTheme="majorHAnsi" w:cstheme="majorBidi"/>
              <w:b/>
              <w:bCs/>
              <w:color w:val="1F497D" w:themeColor="text2"/>
              <w:sz w:val="28"/>
              <w:szCs w:val="28"/>
            </w:rPr>
            <w:t xml:space="preserve"> </w:t>
          </w:r>
          <w:r w:rsidR="003108B4" w:rsidRPr="003108B4">
            <w:rPr>
              <w:rFonts w:asciiTheme="majorHAnsi" w:eastAsiaTheme="majorEastAsia" w:hAnsiTheme="majorHAnsi" w:cstheme="majorBidi"/>
              <w:b/>
              <w:bCs/>
              <w:color w:val="1F497D" w:themeColor="text2"/>
              <w:sz w:val="28"/>
              <w:szCs w:val="28"/>
            </w:rPr>
            <w:t>(art. 3.1</w:t>
          </w:r>
          <w:r w:rsidR="00B419F4">
            <w:rPr>
              <w:rFonts w:asciiTheme="majorHAnsi" w:eastAsiaTheme="majorEastAsia" w:hAnsiTheme="majorHAnsi" w:cstheme="majorBidi"/>
              <w:b/>
              <w:bCs/>
              <w:color w:val="1F497D" w:themeColor="text2"/>
              <w:sz w:val="28"/>
              <w:szCs w:val="28"/>
            </w:rPr>
            <w:t>/3.2</w:t>
          </w:r>
          <w:r w:rsidR="003108B4" w:rsidRPr="003108B4">
            <w:rPr>
              <w:rFonts w:asciiTheme="majorHAnsi" w:eastAsiaTheme="majorEastAsia" w:hAnsiTheme="majorHAnsi" w:cstheme="majorBidi"/>
              <w:b/>
              <w:bCs/>
              <w:color w:val="1F497D" w:themeColor="text2"/>
              <w:sz w:val="28"/>
              <w:szCs w:val="28"/>
            </w:rPr>
            <w:t xml:space="preserve"> of EU</w:t>
          </w:r>
          <w:r w:rsidR="003108B4" w:rsidRPr="00076D9E">
            <w:rPr>
              <w:rFonts w:asciiTheme="majorHAnsi" w:eastAsiaTheme="majorEastAsia" w:hAnsiTheme="majorHAnsi" w:cstheme="majorBidi"/>
              <w:b/>
              <w:bCs/>
              <w:color w:val="365F91" w:themeColor="accent1" w:themeShade="BF"/>
              <w:szCs w:val="28"/>
            </w:rPr>
            <w:t xml:space="preserve"> </w:t>
          </w:r>
          <w:r w:rsidR="003108B4" w:rsidRPr="003108B4">
            <w:rPr>
              <w:rFonts w:asciiTheme="majorHAnsi" w:eastAsiaTheme="majorEastAsia" w:hAnsiTheme="majorHAnsi" w:cstheme="majorBidi"/>
              <w:b/>
              <w:bCs/>
              <w:color w:val="1F497D" w:themeColor="text2"/>
              <w:sz w:val="28"/>
              <w:szCs w:val="28"/>
            </w:rPr>
            <w:t>2017/576)</w:t>
          </w:r>
          <w:r w:rsidRPr="00E31F5C">
            <w:rPr>
              <w:b/>
              <w:color w:val="1F497D" w:themeColor="text2"/>
            </w:rPr>
            <w:t xml:space="preserve"> </w:t>
          </w:r>
          <w:r w:rsidRPr="00E31F5C">
            <w:rPr>
              <w:b/>
              <w:color w:val="1F497D" w:themeColor="text2"/>
            </w:rPr>
            <w:ptab w:relativeTo="margin" w:alignment="right" w:leader="dot"/>
          </w:r>
          <w:r w:rsidR="003108B4">
            <w:rPr>
              <w:b/>
              <w:color w:val="1F497D" w:themeColor="text2"/>
            </w:rPr>
            <w:t>4</w:t>
          </w:r>
          <w:r w:rsidRPr="00E31F5C">
            <w:rPr>
              <w:b/>
              <w:bCs/>
              <w:color w:val="1F497D" w:themeColor="text2"/>
            </w:rPr>
            <w:t xml:space="preserve"> </w:t>
          </w:r>
        </w:p>
        <w:p w14:paraId="4A064F91" w14:textId="77777777" w:rsidR="00475252" w:rsidRPr="00E31F5C" w:rsidRDefault="00E31F5C" w:rsidP="00E31F5C">
          <w:pPr>
            <w:pStyle w:val="TM3"/>
            <w:numPr>
              <w:ilvl w:val="0"/>
              <w:numId w:val="20"/>
            </w:numPr>
            <w:rPr>
              <w:rFonts w:eastAsiaTheme="minorHAnsi"/>
              <w:b/>
              <w:color w:val="1F497D" w:themeColor="text2"/>
              <w:lang w:val="en-GB" w:eastAsia="en-US"/>
            </w:rPr>
          </w:pPr>
          <w:r w:rsidRPr="00E31F5C">
            <w:rPr>
              <w:rFonts w:asciiTheme="majorHAnsi" w:eastAsiaTheme="majorEastAsia" w:hAnsiTheme="majorHAnsi" w:cstheme="majorBidi"/>
              <w:b/>
              <w:bCs/>
              <w:color w:val="1F497D" w:themeColor="text2"/>
              <w:sz w:val="28"/>
              <w:szCs w:val="28"/>
            </w:rPr>
            <w:t>Part II Summary of analysis and conclusions on the quality of execution (art. 3.3 of EU 2017/576)</w:t>
          </w:r>
          <w:r w:rsidR="00475252" w:rsidRPr="00E31F5C">
            <w:rPr>
              <w:b/>
              <w:color w:val="1F497D" w:themeColor="text2"/>
            </w:rPr>
            <w:ptab w:relativeTo="margin" w:alignment="right" w:leader="dot"/>
          </w:r>
          <w:r w:rsidR="003108B4">
            <w:rPr>
              <w:b/>
              <w:color w:val="1F497D" w:themeColor="text2"/>
            </w:rPr>
            <w:t>6</w:t>
          </w:r>
        </w:p>
      </w:sdtContent>
    </w:sdt>
    <w:p w14:paraId="6F275287" w14:textId="77777777" w:rsidR="00767339" w:rsidRDefault="00767339" w:rsidP="00767339">
      <w:pPr>
        <w:spacing w:before="120" w:after="0" w:line="264" w:lineRule="auto"/>
        <w:jc w:val="both"/>
        <w:rPr>
          <w:rFonts w:asciiTheme="majorHAnsi" w:hAnsiTheme="majorHAnsi"/>
          <w:sz w:val="36"/>
          <w:szCs w:val="36"/>
        </w:rPr>
      </w:pPr>
    </w:p>
    <w:p w14:paraId="5295F19D" w14:textId="77777777" w:rsidR="00767339" w:rsidRDefault="00767339" w:rsidP="00767339">
      <w:pPr>
        <w:spacing w:before="120" w:after="0" w:line="264" w:lineRule="auto"/>
        <w:jc w:val="both"/>
        <w:rPr>
          <w:rFonts w:asciiTheme="majorHAnsi" w:hAnsiTheme="majorHAnsi"/>
          <w:sz w:val="36"/>
          <w:szCs w:val="36"/>
        </w:rPr>
      </w:pPr>
    </w:p>
    <w:p w14:paraId="5D62F584" w14:textId="77777777" w:rsidR="00767339" w:rsidRDefault="00767339" w:rsidP="00767339">
      <w:pPr>
        <w:spacing w:before="120" w:after="0" w:line="264" w:lineRule="auto"/>
        <w:jc w:val="both"/>
        <w:rPr>
          <w:rFonts w:asciiTheme="majorHAnsi" w:hAnsiTheme="majorHAnsi"/>
          <w:sz w:val="36"/>
          <w:szCs w:val="36"/>
        </w:rPr>
      </w:pPr>
    </w:p>
    <w:p w14:paraId="3871AEDB" w14:textId="77777777" w:rsidR="00767339" w:rsidRDefault="00767339" w:rsidP="00767339">
      <w:pPr>
        <w:spacing w:before="120" w:after="0" w:line="264" w:lineRule="auto"/>
        <w:jc w:val="both"/>
        <w:rPr>
          <w:rFonts w:asciiTheme="majorHAnsi" w:hAnsiTheme="majorHAnsi"/>
          <w:sz w:val="36"/>
          <w:szCs w:val="36"/>
        </w:rPr>
      </w:pPr>
    </w:p>
    <w:p w14:paraId="7C4DE298" w14:textId="77777777" w:rsidR="00AE5EF2" w:rsidRDefault="00AE5EF2" w:rsidP="00767339">
      <w:pPr>
        <w:ind w:left="135"/>
        <w:jc w:val="both"/>
        <w:rPr>
          <w:b/>
          <w:sz w:val="28"/>
          <w:szCs w:val="28"/>
        </w:rPr>
      </w:pPr>
    </w:p>
    <w:p w14:paraId="52FAD5A8" w14:textId="77777777" w:rsidR="00767339" w:rsidRDefault="00767339" w:rsidP="00767339">
      <w:pPr>
        <w:spacing w:before="120" w:after="0" w:line="264" w:lineRule="auto"/>
        <w:jc w:val="both"/>
        <w:rPr>
          <w:rFonts w:asciiTheme="majorHAnsi" w:hAnsiTheme="majorHAnsi"/>
          <w:sz w:val="36"/>
          <w:szCs w:val="36"/>
        </w:rPr>
      </w:pPr>
    </w:p>
    <w:p w14:paraId="7BE3725B" w14:textId="77777777" w:rsidR="00767339" w:rsidRDefault="00767339" w:rsidP="00767339">
      <w:pPr>
        <w:spacing w:before="120" w:after="0" w:line="264" w:lineRule="auto"/>
        <w:jc w:val="both"/>
        <w:rPr>
          <w:rFonts w:asciiTheme="majorHAnsi" w:hAnsiTheme="majorHAnsi"/>
          <w:sz w:val="36"/>
          <w:szCs w:val="36"/>
        </w:rPr>
      </w:pPr>
    </w:p>
    <w:p w14:paraId="5FA71594" w14:textId="77777777" w:rsidR="00F36363" w:rsidRDefault="00F36363">
      <w:pPr>
        <w:pStyle w:val="TM3"/>
        <w:ind w:left="446"/>
      </w:pPr>
    </w:p>
    <w:p w14:paraId="27F3A6CF" w14:textId="77777777" w:rsidR="00767339" w:rsidRDefault="00767339" w:rsidP="00767339">
      <w:pPr>
        <w:spacing w:before="120" w:after="0" w:line="264" w:lineRule="auto"/>
        <w:jc w:val="both"/>
        <w:rPr>
          <w:rFonts w:asciiTheme="majorHAnsi" w:hAnsiTheme="majorHAnsi"/>
          <w:sz w:val="36"/>
          <w:szCs w:val="36"/>
        </w:rPr>
      </w:pPr>
    </w:p>
    <w:p w14:paraId="49531716" w14:textId="77777777" w:rsidR="00767339" w:rsidRDefault="00767339" w:rsidP="00767339">
      <w:pPr>
        <w:spacing w:before="120" w:after="0" w:line="264" w:lineRule="auto"/>
        <w:jc w:val="both"/>
        <w:rPr>
          <w:rFonts w:asciiTheme="majorHAnsi" w:hAnsiTheme="majorHAnsi"/>
          <w:sz w:val="36"/>
          <w:szCs w:val="36"/>
        </w:rPr>
      </w:pPr>
    </w:p>
    <w:p w14:paraId="13A97033" w14:textId="77777777" w:rsidR="00767339" w:rsidRDefault="00767339" w:rsidP="00767339">
      <w:pPr>
        <w:spacing w:before="120" w:after="0" w:line="264" w:lineRule="auto"/>
        <w:jc w:val="both"/>
        <w:rPr>
          <w:rFonts w:asciiTheme="majorHAnsi" w:hAnsiTheme="majorHAnsi"/>
          <w:sz w:val="36"/>
          <w:szCs w:val="36"/>
        </w:rPr>
      </w:pPr>
    </w:p>
    <w:p w14:paraId="664219C2" w14:textId="77777777" w:rsidR="00767339" w:rsidRDefault="00767339" w:rsidP="00767339">
      <w:pPr>
        <w:spacing w:before="120" w:after="0" w:line="264" w:lineRule="auto"/>
        <w:jc w:val="both"/>
        <w:rPr>
          <w:rFonts w:asciiTheme="majorHAnsi" w:hAnsiTheme="majorHAnsi"/>
          <w:sz w:val="36"/>
          <w:szCs w:val="36"/>
        </w:rPr>
      </w:pPr>
    </w:p>
    <w:p w14:paraId="10E32163" w14:textId="77777777" w:rsidR="00767339" w:rsidRDefault="00767339" w:rsidP="00767339">
      <w:pPr>
        <w:spacing w:before="120" w:after="0" w:line="264" w:lineRule="auto"/>
        <w:jc w:val="both"/>
        <w:rPr>
          <w:rFonts w:asciiTheme="majorHAnsi" w:hAnsiTheme="majorHAnsi"/>
          <w:sz w:val="36"/>
          <w:szCs w:val="36"/>
        </w:rPr>
      </w:pPr>
    </w:p>
    <w:p w14:paraId="74849ABE" w14:textId="77777777" w:rsidR="00767339" w:rsidRDefault="00767339" w:rsidP="00767339">
      <w:pPr>
        <w:spacing w:before="120" w:after="0" w:line="264" w:lineRule="auto"/>
        <w:jc w:val="both"/>
        <w:rPr>
          <w:rFonts w:asciiTheme="majorHAnsi" w:hAnsiTheme="majorHAnsi"/>
          <w:sz w:val="36"/>
          <w:szCs w:val="36"/>
        </w:rPr>
      </w:pPr>
    </w:p>
    <w:p w14:paraId="1E316BAD" w14:textId="77777777" w:rsidR="000F4B5A" w:rsidRDefault="000F4B5A" w:rsidP="00767339">
      <w:pPr>
        <w:spacing w:before="120" w:after="0" w:line="264" w:lineRule="auto"/>
        <w:jc w:val="both"/>
        <w:rPr>
          <w:rFonts w:asciiTheme="majorHAnsi" w:hAnsiTheme="majorHAnsi"/>
          <w:sz w:val="36"/>
          <w:szCs w:val="36"/>
        </w:rPr>
      </w:pPr>
    </w:p>
    <w:p w14:paraId="68FCA10A" w14:textId="77777777" w:rsidR="00751445" w:rsidRPr="00F36363" w:rsidRDefault="000D4FBB" w:rsidP="00F36363">
      <w:pPr>
        <w:pStyle w:val="Default"/>
        <w:numPr>
          <w:ilvl w:val="0"/>
          <w:numId w:val="17"/>
        </w:numPr>
        <w:spacing w:line="276" w:lineRule="auto"/>
        <w:jc w:val="both"/>
        <w:rPr>
          <w:rFonts w:asciiTheme="majorHAnsi" w:eastAsiaTheme="majorEastAsia" w:hAnsiTheme="majorHAnsi" w:cstheme="majorBidi"/>
          <w:b/>
          <w:bCs/>
          <w:color w:val="365F91" w:themeColor="accent1" w:themeShade="BF"/>
          <w:sz w:val="28"/>
          <w:szCs w:val="28"/>
          <w:lang w:val="en-US" w:eastAsia="ja-JP"/>
        </w:rPr>
      </w:pPr>
      <w:r w:rsidRPr="00F36363">
        <w:rPr>
          <w:rFonts w:asciiTheme="majorHAnsi" w:eastAsiaTheme="majorEastAsia" w:hAnsiTheme="majorHAnsi" w:cstheme="majorBidi"/>
          <w:b/>
          <w:bCs/>
          <w:color w:val="365F91" w:themeColor="accent1" w:themeShade="BF"/>
          <w:sz w:val="28"/>
          <w:szCs w:val="28"/>
          <w:lang w:val="en-US" w:eastAsia="ja-JP"/>
        </w:rPr>
        <w:lastRenderedPageBreak/>
        <w:t>Background</w:t>
      </w:r>
      <w:r w:rsidRPr="00F36363" w:rsidDel="00767339">
        <w:rPr>
          <w:rFonts w:asciiTheme="majorHAnsi" w:eastAsiaTheme="majorEastAsia" w:hAnsiTheme="majorHAnsi" w:cstheme="majorBidi"/>
          <w:b/>
          <w:bCs/>
          <w:color w:val="365F91" w:themeColor="accent1" w:themeShade="BF"/>
          <w:sz w:val="28"/>
          <w:szCs w:val="28"/>
          <w:lang w:val="en-US" w:eastAsia="ja-JP"/>
        </w:rPr>
        <w:t xml:space="preserve"> </w:t>
      </w:r>
    </w:p>
    <w:p w14:paraId="3EBAEAA1" w14:textId="77777777" w:rsidR="00751445" w:rsidRPr="00D22E22" w:rsidRDefault="00751445" w:rsidP="00D22E22">
      <w:pPr>
        <w:pStyle w:val="Default"/>
        <w:spacing w:line="276" w:lineRule="auto"/>
        <w:jc w:val="both"/>
        <w:rPr>
          <w:sz w:val="22"/>
          <w:szCs w:val="22"/>
        </w:rPr>
      </w:pPr>
    </w:p>
    <w:p w14:paraId="23C7EED8" w14:textId="77777777" w:rsidR="0023588A" w:rsidRDefault="008A3291" w:rsidP="00D22E22">
      <w:pPr>
        <w:pStyle w:val="Default"/>
        <w:spacing w:line="276" w:lineRule="auto"/>
        <w:jc w:val="both"/>
        <w:rPr>
          <w:sz w:val="22"/>
          <w:szCs w:val="22"/>
        </w:rPr>
      </w:pPr>
      <w:r>
        <w:rPr>
          <w:sz w:val="22"/>
          <w:szCs w:val="22"/>
        </w:rPr>
        <w:t xml:space="preserve">Under </w:t>
      </w:r>
      <w:r w:rsidR="0023588A" w:rsidRPr="00E2731D">
        <w:rPr>
          <w:sz w:val="22"/>
          <w:szCs w:val="22"/>
        </w:rPr>
        <w:t>De</w:t>
      </w:r>
      <w:r w:rsidR="00767339" w:rsidRPr="0023588A">
        <w:rPr>
          <w:sz w:val="22"/>
          <w:szCs w:val="22"/>
        </w:rPr>
        <w:t>legated Regulation EU 2017/576</w:t>
      </w:r>
      <w:r>
        <w:rPr>
          <w:sz w:val="22"/>
          <w:szCs w:val="22"/>
        </w:rPr>
        <w:t xml:space="preserve">, </w:t>
      </w:r>
      <w:r w:rsidR="0023588A" w:rsidRPr="00E2731D">
        <w:rPr>
          <w:sz w:val="22"/>
          <w:szCs w:val="22"/>
        </w:rPr>
        <w:t>investment</w:t>
      </w:r>
      <w:r w:rsidR="0023588A" w:rsidRPr="0023588A">
        <w:rPr>
          <w:sz w:val="22"/>
          <w:szCs w:val="22"/>
        </w:rPr>
        <w:t xml:space="preserve"> firms </w:t>
      </w:r>
      <w:r>
        <w:rPr>
          <w:sz w:val="22"/>
          <w:szCs w:val="22"/>
        </w:rPr>
        <w:t xml:space="preserve">are required </w:t>
      </w:r>
      <w:r w:rsidR="0023588A" w:rsidRPr="00E2731D">
        <w:rPr>
          <w:sz w:val="22"/>
          <w:szCs w:val="22"/>
        </w:rPr>
        <w:t>to publish on an annual basis</w:t>
      </w:r>
      <w:r w:rsidR="0023588A">
        <w:rPr>
          <w:sz w:val="22"/>
          <w:szCs w:val="22"/>
        </w:rPr>
        <w:t>,</w:t>
      </w:r>
      <w:r w:rsidR="0023588A" w:rsidRPr="00E2731D">
        <w:rPr>
          <w:sz w:val="22"/>
          <w:szCs w:val="22"/>
        </w:rPr>
        <w:t xml:space="preserve"> information in relation to client orders executed </w:t>
      </w:r>
      <w:r w:rsidR="00E62CBD" w:rsidRPr="0023588A">
        <w:rPr>
          <w:sz w:val="22"/>
          <w:szCs w:val="22"/>
        </w:rPr>
        <w:t>on trading venues, system</w:t>
      </w:r>
      <w:r w:rsidR="007D0329">
        <w:rPr>
          <w:sz w:val="22"/>
          <w:szCs w:val="22"/>
        </w:rPr>
        <w:t>at</w:t>
      </w:r>
      <w:r w:rsidR="00E62CBD" w:rsidRPr="0023588A">
        <w:rPr>
          <w:sz w:val="22"/>
          <w:szCs w:val="22"/>
        </w:rPr>
        <w:t xml:space="preserve">ic </w:t>
      </w:r>
      <w:proofErr w:type="spellStart"/>
      <w:r w:rsidR="00E62CBD" w:rsidRPr="0023588A">
        <w:rPr>
          <w:sz w:val="22"/>
          <w:szCs w:val="22"/>
        </w:rPr>
        <w:t>internalisers</w:t>
      </w:r>
      <w:proofErr w:type="spellEnd"/>
      <w:r w:rsidR="00E62CBD" w:rsidRPr="0023588A">
        <w:rPr>
          <w:sz w:val="22"/>
          <w:szCs w:val="22"/>
        </w:rPr>
        <w:t xml:space="preserve">, market makers or other liquidity providers, </w:t>
      </w:r>
      <w:r w:rsidR="0023588A" w:rsidRPr="00E2731D">
        <w:rPr>
          <w:sz w:val="22"/>
          <w:szCs w:val="22"/>
        </w:rPr>
        <w:t xml:space="preserve">or entities that perform a similar function in a third country. </w:t>
      </w:r>
    </w:p>
    <w:p w14:paraId="48228B77" w14:textId="77777777" w:rsidR="00475252" w:rsidRDefault="00475252">
      <w:pPr>
        <w:pStyle w:val="TM3"/>
        <w:ind w:left="446"/>
      </w:pPr>
    </w:p>
    <w:p w14:paraId="704D3A81" w14:textId="77777777" w:rsidR="00E2731D" w:rsidRDefault="008A3291" w:rsidP="00D22E22">
      <w:pPr>
        <w:pStyle w:val="Default"/>
        <w:spacing w:line="276" w:lineRule="auto"/>
        <w:jc w:val="both"/>
        <w:rPr>
          <w:sz w:val="22"/>
          <w:szCs w:val="22"/>
        </w:rPr>
      </w:pPr>
      <w:r>
        <w:rPr>
          <w:sz w:val="22"/>
          <w:szCs w:val="22"/>
        </w:rPr>
        <w:t>Th</w:t>
      </w:r>
      <w:r w:rsidR="00164A18">
        <w:rPr>
          <w:sz w:val="22"/>
          <w:szCs w:val="22"/>
        </w:rPr>
        <w:t>e</w:t>
      </w:r>
      <w:r>
        <w:rPr>
          <w:sz w:val="22"/>
          <w:szCs w:val="22"/>
        </w:rPr>
        <w:t xml:space="preserve"> information shall include</w:t>
      </w:r>
      <w:r w:rsidR="00916DC0">
        <w:rPr>
          <w:sz w:val="22"/>
          <w:szCs w:val="22"/>
        </w:rPr>
        <w:t xml:space="preserve"> for each</w:t>
      </w:r>
      <w:r w:rsidR="004A7523">
        <w:rPr>
          <w:sz w:val="22"/>
          <w:szCs w:val="22"/>
        </w:rPr>
        <w:t xml:space="preserve"> class of financial instruments</w:t>
      </w:r>
      <w:r w:rsidR="00E2731D">
        <w:rPr>
          <w:sz w:val="22"/>
          <w:szCs w:val="22"/>
        </w:rPr>
        <w:t>:</w:t>
      </w:r>
    </w:p>
    <w:p w14:paraId="5DCA64BE" w14:textId="77777777" w:rsidR="00E2731D" w:rsidRDefault="007D0329" w:rsidP="00916DC0">
      <w:pPr>
        <w:pStyle w:val="Default"/>
        <w:numPr>
          <w:ilvl w:val="0"/>
          <w:numId w:val="13"/>
        </w:numPr>
        <w:spacing w:line="276" w:lineRule="auto"/>
        <w:jc w:val="both"/>
        <w:rPr>
          <w:sz w:val="22"/>
          <w:szCs w:val="22"/>
        </w:rPr>
      </w:pPr>
      <w:r>
        <w:rPr>
          <w:sz w:val="22"/>
          <w:szCs w:val="22"/>
        </w:rPr>
        <w:t>T</w:t>
      </w:r>
      <w:r w:rsidR="008A3291">
        <w:rPr>
          <w:sz w:val="22"/>
          <w:szCs w:val="22"/>
        </w:rPr>
        <w:t>he top five execution venues in terms of trading volumes for all executed orders</w:t>
      </w:r>
      <w:r w:rsidR="00916DC0">
        <w:rPr>
          <w:sz w:val="22"/>
          <w:szCs w:val="22"/>
        </w:rPr>
        <w:t xml:space="preserve"> of Retail and Professional </w:t>
      </w:r>
      <w:r w:rsidR="006374A4">
        <w:rPr>
          <w:sz w:val="22"/>
          <w:szCs w:val="22"/>
        </w:rPr>
        <w:t>C</w:t>
      </w:r>
      <w:r w:rsidR="00916DC0">
        <w:rPr>
          <w:sz w:val="22"/>
          <w:szCs w:val="22"/>
        </w:rPr>
        <w:t>lients (as defined in art.4.1 of EU</w:t>
      </w:r>
      <w:r w:rsidR="00916DC0" w:rsidRPr="00916DC0">
        <w:t xml:space="preserve"> </w:t>
      </w:r>
      <w:r w:rsidR="00916DC0" w:rsidRPr="00916DC0">
        <w:rPr>
          <w:sz w:val="22"/>
          <w:szCs w:val="22"/>
        </w:rPr>
        <w:t>2014/65/EU</w:t>
      </w:r>
      <w:r>
        <w:rPr>
          <w:sz w:val="22"/>
          <w:szCs w:val="22"/>
        </w:rPr>
        <w:t>, “MiFID II”</w:t>
      </w:r>
      <w:r w:rsidR="00916DC0">
        <w:rPr>
          <w:sz w:val="22"/>
          <w:szCs w:val="22"/>
        </w:rPr>
        <w:t>)</w:t>
      </w:r>
      <w:r w:rsidR="008A3291">
        <w:rPr>
          <w:sz w:val="22"/>
          <w:szCs w:val="22"/>
        </w:rPr>
        <w:t xml:space="preserve">, and </w:t>
      </w:r>
    </w:p>
    <w:p w14:paraId="3887ACDC" w14:textId="77777777" w:rsidR="00E2731D" w:rsidRDefault="007D0329" w:rsidP="00E2731D">
      <w:pPr>
        <w:pStyle w:val="Default"/>
        <w:numPr>
          <w:ilvl w:val="0"/>
          <w:numId w:val="13"/>
        </w:numPr>
        <w:spacing w:line="276" w:lineRule="auto"/>
        <w:jc w:val="both"/>
        <w:rPr>
          <w:sz w:val="22"/>
          <w:szCs w:val="22"/>
        </w:rPr>
      </w:pPr>
      <w:r>
        <w:rPr>
          <w:sz w:val="22"/>
          <w:szCs w:val="22"/>
        </w:rPr>
        <w:t>A</w:t>
      </w:r>
      <w:r w:rsidR="004A7523">
        <w:rPr>
          <w:sz w:val="22"/>
          <w:szCs w:val="22"/>
        </w:rPr>
        <w:t xml:space="preserve"> summary of </w:t>
      </w:r>
      <w:r w:rsidR="00916DC0">
        <w:rPr>
          <w:sz w:val="22"/>
          <w:szCs w:val="22"/>
        </w:rPr>
        <w:t xml:space="preserve">investment firms’ </w:t>
      </w:r>
      <w:r w:rsidR="004A7523">
        <w:rPr>
          <w:sz w:val="22"/>
          <w:szCs w:val="22"/>
        </w:rPr>
        <w:t xml:space="preserve">analysis and conclusions </w:t>
      </w:r>
      <w:r w:rsidR="00164A18">
        <w:rPr>
          <w:sz w:val="22"/>
          <w:szCs w:val="22"/>
        </w:rPr>
        <w:t xml:space="preserve">on the quality of execution </w:t>
      </w:r>
      <w:r w:rsidR="00E2731D">
        <w:rPr>
          <w:sz w:val="22"/>
          <w:szCs w:val="22"/>
        </w:rPr>
        <w:t>obtained for all client orders</w:t>
      </w:r>
      <w:r w:rsidR="00916DC0">
        <w:rPr>
          <w:sz w:val="22"/>
          <w:szCs w:val="22"/>
        </w:rPr>
        <w:t xml:space="preserve"> executed</w:t>
      </w:r>
      <w:r w:rsidR="00E2731D">
        <w:rPr>
          <w:sz w:val="22"/>
          <w:szCs w:val="22"/>
        </w:rPr>
        <w:t xml:space="preserve"> in the previous year.</w:t>
      </w:r>
    </w:p>
    <w:p w14:paraId="47FF339C" w14:textId="77777777" w:rsidR="004A7523" w:rsidRDefault="004A7523" w:rsidP="00E2731D">
      <w:pPr>
        <w:pStyle w:val="Default"/>
        <w:spacing w:line="276" w:lineRule="auto"/>
        <w:ind w:left="780"/>
        <w:jc w:val="both"/>
        <w:rPr>
          <w:sz w:val="22"/>
          <w:szCs w:val="22"/>
        </w:rPr>
      </w:pPr>
    </w:p>
    <w:p w14:paraId="246BD0A6" w14:textId="77777777" w:rsidR="00164A18" w:rsidRPr="00D22E22" w:rsidRDefault="00164A18" w:rsidP="00D22E22">
      <w:pPr>
        <w:pStyle w:val="Default"/>
        <w:spacing w:line="276" w:lineRule="auto"/>
        <w:jc w:val="both"/>
        <w:rPr>
          <w:sz w:val="22"/>
          <w:szCs w:val="22"/>
        </w:rPr>
      </w:pPr>
    </w:p>
    <w:p w14:paraId="57303623" w14:textId="77777777" w:rsidR="0062481E" w:rsidRPr="00F36363" w:rsidRDefault="00916DC0" w:rsidP="00F36363">
      <w:pPr>
        <w:pStyle w:val="Default"/>
        <w:numPr>
          <w:ilvl w:val="0"/>
          <w:numId w:val="17"/>
        </w:numPr>
        <w:spacing w:line="276" w:lineRule="auto"/>
        <w:jc w:val="both"/>
        <w:rPr>
          <w:rFonts w:asciiTheme="majorHAnsi" w:eastAsiaTheme="majorEastAsia" w:hAnsiTheme="majorHAnsi" w:cstheme="majorBidi"/>
          <w:b/>
          <w:bCs/>
          <w:color w:val="365F91" w:themeColor="accent1" w:themeShade="BF"/>
          <w:sz w:val="28"/>
          <w:szCs w:val="28"/>
          <w:lang w:val="en-US" w:eastAsia="ja-JP"/>
        </w:rPr>
      </w:pPr>
      <w:r w:rsidRPr="00F36363">
        <w:rPr>
          <w:rFonts w:asciiTheme="majorHAnsi" w:eastAsiaTheme="majorEastAsia" w:hAnsiTheme="majorHAnsi" w:cstheme="majorBidi"/>
          <w:b/>
          <w:bCs/>
          <w:color w:val="365F91" w:themeColor="accent1" w:themeShade="BF"/>
          <w:sz w:val="28"/>
          <w:szCs w:val="28"/>
          <w:lang w:val="en-US" w:eastAsia="ja-JP"/>
        </w:rPr>
        <w:t xml:space="preserve">Scope </w:t>
      </w:r>
    </w:p>
    <w:p w14:paraId="6F99C1A4" w14:textId="77777777" w:rsidR="00916DC0" w:rsidRDefault="00916DC0" w:rsidP="00916DC0">
      <w:pPr>
        <w:pStyle w:val="Default"/>
        <w:spacing w:line="276" w:lineRule="auto"/>
        <w:jc w:val="both"/>
        <w:rPr>
          <w:sz w:val="22"/>
          <w:szCs w:val="22"/>
        </w:rPr>
      </w:pPr>
    </w:p>
    <w:p w14:paraId="78A6A41D" w14:textId="77777777" w:rsidR="008773BD" w:rsidRPr="00F06631" w:rsidRDefault="00916DC0" w:rsidP="00916DC0">
      <w:pPr>
        <w:pStyle w:val="Default"/>
        <w:spacing w:line="276" w:lineRule="auto"/>
        <w:jc w:val="both"/>
        <w:rPr>
          <w:sz w:val="22"/>
          <w:szCs w:val="22"/>
        </w:rPr>
      </w:pPr>
      <w:r>
        <w:rPr>
          <w:sz w:val="22"/>
          <w:szCs w:val="22"/>
        </w:rPr>
        <w:t>This report</w:t>
      </w:r>
      <w:r w:rsidR="00A7246F">
        <w:rPr>
          <w:sz w:val="22"/>
          <w:szCs w:val="22"/>
        </w:rPr>
        <w:t xml:space="preserve"> </w:t>
      </w:r>
      <w:r w:rsidR="00064C0C">
        <w:rPr>
          <w:sz w:val="22"/>
          <w:szCs w:val="22"/>
        </w:rPr>
        <w:t xml:space="preserve">aims </w:t>
      </w:r>
      <w:r w:rsidR="00A7246F">
        <w:rPr>
          <w:sz w:val="22"/>
          <w:szCs w:val="22"/>
        </w:rPr>
        <w:t>to cover all</w:t>
      </w:r>
      <w:r>
        <w:rPr>
          <w:sz w:val="22"/>
          <w:szCs w:val="22"/>
        </w:rPr>
        <w:t xml:space="preserve"> </w:t>
      </w:r>
      <w:r w:rsidRPr="00E2731D">
        <w:rPr>
          <w:sz w:val="22"/>
          <w:szCs w:val="22"/>
        </w:rPr>
        <w:t xml:space="preserve">client orders executed </w:t>
      </w:r>
      <w:r w:rsidRPr="0023588A">
        <w:rPr>
          <w:sz w:val="22"/>
          <w:szCs w:val="22"/>
        </w:rPr>
        <w:t>on trading venues, system</w:t>
      </w:r>
      <w:r w:rsidR="007D0329">
        <w:rPr>
          <w:sz w:val="22"/>
          <w:szCs w:val="22"/>
        </w:rPr>
        <w:t>at</w:t>
      </w:r>
      <w:r w:rsidRPr="0023588A">
        <w:rPr>
          <w:sz w:val="22"/>
          <w:szCs w:val="22"/>
        </w:rPr>
        <w:t xml:space="preserve">ic </w:t>
      </w:r>
      <w:proofErr w:type="spellStart"/>
      <w:r w:rsidRPr="0023588A">
        <w:rPr>
          <w:sz w:val="22"/>
          <w:szCs w:val="22"/>
        </w:rPr>
        <w:t>internalisers</w:t>
      </w:r>
      <w:proofErr w:type="spellEnd"/>
      <w:r w:rsidRPr="0023588A">
        <w:rPr>
          <w:sz w:val="22"/>
          <w:szCs w:val="22"/>
        </w:rPr>
        <w:t xml:space="preserve">, </w:t>
      </w:r>
      <w:r w:rsidRPr="00F06631">
        <w:rPr>
          <w:sz w:val="22"/>
          <w:szCs w:val="22"/>
        </w:rPr>
        <w:t xml:space="preserve">market makers or other liquidity providers, or entities that perform a similar function in a third country. </w:t>
      </w:r>
    </w:p>
    <w:p w14:paraId="2BF2F056" w14:textId="77777777" w:rsidR="008773BD" w:rsidRPr="00F06631" w:rsidRDefault="008773BD" w:rsidP="00916DC0">
      <w:pPr>
        <w:pStyle w:val="Default"/>
        <w:spacing w:line="276" w:lineRule="auto"/>
        <w:jc w:val="both"/>
        <w:rPr>
          <w:sz w:val="22"/>
          <w:szCs w:val="22"/>
        </w:rPr>
      </w:pPr>
    </w:p>
    <w:p w14:paraId="21FADA34" w14:textId="77777777" w:rsidR="004D72F6" w:rsidRPr="00F06631" w:rsidRDefault="00064C0C" w:rsidP="00916DC0">
      <w:pPr>
        <w:pStyle w:val="Default"/>
        <w:spacing w:line="276" w:lineRule="auto"/>
        <w:jc w:val="both"/>
        <w:rPr>
          <w:sz w:val="22"/>
          <w:szCs w:val="22"/>
        </w:rPr>
      </w:pPr>
      <w:r>
        <w:rPr>
          <w:sz w:val="22"/>
          <w:szCs w:val="22"/>
        </w:rPr>
        <w:t xml:space="preserve">It is important to note that </w:t>
      </w:r>
      <w:r w:rsidR="00A7246F" w:rsidRPr="00F06631">
        <w:rPr>
          <w:sz w:val="22"/>
          <w:szCs w:val="22"/>
        </w:rPr>
        <w:t xml:space="preserve">Credit Agricole Corporate and Investment Bank </w:t>
      </w:r>
      <w:r w:rsidR="00112A70" w:rsidRPr="00F06631">
        <w:rPr>
          <w:sz w:val="22"/>
          <w:szCs w:val="22"/>
        </w:rPr>
        <w:t>transacts</w:t>
      </w:r>
      <w:r w:rsidR="00A7246F" w:rsidRPr="00F06631">
        <w:rPr>
          <w:sz w:val="22"/>
          <w:szCs w:val="22"/>
        </w:rPr>
        <w:t xml:space="preserve"> as dealer and trades directly against </w:t>
      </w:r>
      <w:r w:rsidR="004D72F6" w:rsidRPr="00F06631">
        <w:rPr>
          <w:sz w:val="22"/>
          <w:szCs w:val="22"/>
        </w:rPr>
        <w:t xml:space="preserve">the </w:t>
      </w:r>
      <w:r w:rsidR="00A7246F" w:rsidRPr="00F06631">
        <w:rPr>
          <w:sz w:val="22"/>
          <w:szCs w:val="22"/>
        </w:rPr>
        <w:t>client</w:t>
      </w:r>
      <w:r w:rsidR="004D72F6" w:rsidRPr="00F06631">
        <w:rPr>
          <w:sz w:val="22"/>
          <w:szCs w:val="22"/>
        </w:rPr>
        <w:t>,</w:t>
      </w:r>
      <w:r w:rsidR="00A7246F" w:rsidRPr="00F06631">
        <w:rPr>
          <w:sz w:val="22"/>
          <w:szCs w:val="22"/>
        </w:rPr>
        <w:t xml:space="preserve"> acting as principal and dealing on its own account. </w:t>
      </w:r>
      <w:r w:rsidR="00177613">
        <w:rPr>
          <w:sz w:val="22"/>
          <w:szCs w:val="22"/>
        </w:rPr>
        <w:t>Consequently</w:t>
      </w:r>
      <w:r w:rsidR="0011184C" w:rsidRPr="00F06631">
        <w:rPr>
          <w:sz w:val="22"/>
          <w:szCs w:val="22"/>
        </w:rPr>
        <w:t xml:space="preserve">, </w:t>
      </w:r>
      <w:r w:rsidR="00F92287">
        <w:rPr>
          <w:sz w:val="22"/>
          <w:szCs w:val="22"/>
        </w:rPr>
        <w:t>the firm is</w:t>
      </w:r>
      <w:r w:rsidR="0011184C" w:rsidRPr="00F06631">
        <w:rPr>
          <w:sz w:val="22"/>
          <w:szCs w:val="22"/>
        </w:rPr>
        <w:t xml:space="preserve"> the venue for execution of orders and the client’s counterparty. </w:t>
      </w:r>
      <w:r w:rsidR="00F92287" w:rsidRPr="00F06631">
        <w:rPr>
          <w:sz w:val="22"/>
          <w:szCs w:val="22"/>
        </w:rPr>
        <w:t xml:space="preserve">Credit Agricole Corporate and Investment Bank </w:t>
      </w:r>
      <w:r w:rsidR="0011184C" w:rsidRPr="004E15A9">
        <w:rPr>
          <w:sz w:val="22"/>
          <w:szCs w:val="22"/>
        </w:rPr>
        <w:t>use</w:t>
      </w:r>
      <w:r w:rsidR="00F92287">
        <w:rPr>
          <w:sz w:val="22"/>
          <w:szCs w:val="22"/>
        </w:rPr>
        <w:t>s its</w:t>
      </w:r>
      <w:r w:rsidR="0011184C" w:rsidRPr="004E15A9">
        <w:rPr>
          <w:sz w:val="22"/>
          <w:szCs w:val="22"/>
        </w:rPr>
        <w:t xml:space="preserve"> own internal sources of liquidity, for example by accessing liquidity providers for </w:t>
      </w:r>
      <w:r w:rsidR="00F92287">
        <w:rPr>
          <w:sz w:val="22"/>
          <w:szCs w:val="22"/>
        </w:rPr>
        <w:t>its</w:t>
      </w:r>
      <w:r w:rsidR="0011184C" w:rsidRPr="004E15A9">
        <w:rPr>
          <w:sz w:val="22"/>
          <w:szCs w:val="22"/>
        </w:rPr>
        <w:t xml:space="preserve"> own risk management. </w:t>
      </w:r>
      <w:r w:rsidR="0011184C" w:rsidRPr="00F06631">
        <w:rPr>
          <w:sz w:val="22"/>
          <w:szCs w:val="22"/>
        </w:rPr>
        <w:t xml:space="preserve">Moreover, Credit Agricole Corporate and Investment Bank will </w:t>
      </w:r>
      <w:r w:rsidR="008100FC">
        <w:rPr>
          <w:sz w:val="22"/>
          <w:szCs w:val="22"/>
        </w:rPr>
        <w:t>reduce</w:t>
      </w:r>
      <w:r w:rsidR="0011184C" w:rsidRPr="00F06631">
        <w:rPr>
          <w:sz w:val="22"/>
          <w:szCs w:val="22"/>
        </w:rPr>
        <w:t xml:space="preserve"> any potential market impact</w:t>
      </w:r>
      <w:r w:rsidR="008100FC">
        <w:rPr>
          <w:sz w:val="22"/>
          <w:szCs w:val="22"/>
        </w:rPr>
        <w:t xml:space="preserve">. </w:t>
      </w:r>
      <w:r w:rsidR="0011184C" w:rsidRPr="00F06631">
        <w:rPr>
          <w:sz w:val="22"/>
          <w:szCs w:val="22"/>
        </w:rPr>
        <w:t>For example, large order sizes will be split</w:t>
      </w:r>
      <w:r w:rsidR="008100FC">
        <w:rPr>
          <w:sz w:val="22"/>
          <w:szCs w:val="22"/>
        </w:rPr>
        <w:t xml:space="preserve"> before execution</w:t>
      </w:r>
      <w:r w:rsidR="0011184C" w:rsidRPr="00F06631">
        <w:rPr>
          <w:sz w:val="22"/>
          <w:szCs w:val="22"/>
        </w:rPr>
        <w:t xml:space="preserve"> in the market, while only one ticket will be executed between Credit Agricole Corporate and Investment Bank and the client.</w:t>
      </w:r>
    </w:p>
    <w:p w14:paraId="2F91B0E4" w14:textId="77777777" w:rsidR="004D72F6" w:rsidRPr="00F06631" w:rsidRDefault="004D72F6" w:rsidP="00916DC0">
      <w:pPr>
        <w:pStyle w:val="Default"/>
        <w:spacing w:line="276" w:lineRule="auto"/>
        <w:jc w:val="both"/>
        <w:rPr>
          <w:sz w:val="22"/>
          <w:szCs w:val="22"/>
        </w:rPr>
      </w:pPr>
    </w:p>
    <w:p w14:paraId="033BF6EB" w14:textId="77777777" w:rsidR="00F92287" w:rsidRDefault="004D72F6" w:rsidP="00F06631">
      <w:pPr>
        <w:autoSpaceDE w:val="0"/>
        <w:autoSpaceDN w:val="0"/>
        <w:adjustRightInd w:val="0"/>
        <w:spacing w:after="0"/>
        <w:jc w:val="both"/>
        <w:rPr>
          <w:rFonts w:ascii="Arial" w:hAnsi="Arial" w:cs="Arial"/>
        </w:rPr>
      </w:pPr>
      <w:r w:rsidRPr="00F06631">
        <w:rPr>
          <w:rFonts w:ascii="Arial" w:hAnsi="Arial" w:cs="Arial"/>
        </w:rPr>
        <w:t xml:space="preserve">Credit Agricole Corporate and Investment Bank </w:t>
      </w:r>
      <w:r w:rsidRPr="002B7D9F">
        <w:rPr>
          <w:rFonts w:ascii="Arial" w:hAnsi="Arial" w:cs="Arial"/>
        </w:rPr>
        <w:t xml:space="preserve">executes </w:t>
      </w:r>
      <w:r w:rsidR="001E4C9A" w:rsidRPr="002B7D9F">
        <w:rPr>
          <w:rFonts w:ascii="Arial" w:hAnsi="Arial" w:cs="Arial"/>
        </w:rPr>
        <w:t xml:space="preserve">client </w:t>
      </w:r>
      <w:r w:rsidRPr="002B7D9F">
        <w:rPr>
          <w:rFonts w:ascii="Arial" w:hAnsi="Arial" w:cs="Arial"/>
        </w:rPr>
        <w:t xml:space="preserve">orders as </w:t>
      </w:r>
      <w:r w:rsidR="007D0329" w:rsidRPr="002B7D9F">
        <w:rPr>
          <w:rFonts w:ascii="Arial" w:hAnsi="Arial" w:cs="Arial"/>
        </w:rPr>
        <w:t xml:space="preserve">systematic </w:t>
      </w:r>
      <w:proofErr w:type="spellStart"/>
      <w:r w:rsidR="007D0329" w:rsidRPr="002B7D9F">
        <w:rPr>
          <w:rFonts w:ascii="Arial" w:hAnsi="Arial" w:cs="Arial"/>
        </w:rPr>
        <w:t>i</w:t>
      </w:r>
      <w:r w:rsidRPr="002B7D9F">
        <w:rPr>
          <w:rFonts w:ascii="Arial" w:hAnsi="Arial" w:cs="Arial"/>
        </w:rPr>
        <w:t>nternaliser</w:t>
      </w:r>
      <w:proofErr w:type="spellEnd"/>
      <w:r w:rsidRPr="002B7D9F">
        <w:rPr>
          <w:rFonts w:ascii="Arial" w:hAnsi="Arial" w:cs="Arial"/>
        </w:rPr>
        <w:t xml:space="preserve"> for</w:t>
      </w:r>
      <w:r w:rsidR="008100FC" w:rsidRPr="002B7D9F">
        <w:rPr>
          <w:rFonts w:ascii="Arial" w:hAnsi="Arial" w:cs="Arial"/>
        </w:rPr>
        <w:t xml:space="preserve"> </w:t>
      </w:r>
      <w:r w:rsidR="00DA30C6" w:rsidRPr="002B7D9F">
        <w:rPr>
          <w:rFonts w:ascii="Arial" w:hAnsi="Arial" w:cs="Arial"/>
        </w:rPr>
        <w:t>debt in</w:t>
      </w:r>
      <w:r w:rsidR="001E4C9A" w:rsidRPr="002B7D9F">
        <w:rPr>
          <w:rFonts w:ascii="Arial" w:hAnsi="Arial" w:cs="Arial"/>
        </w:rPr>
        <w:t>s</w:t>
      </w:r>
      <w:r w:rsidR="00DA30C6" w:rsidRPr="002B7D9F">
        <w:rPr>
          <w:rFonts w:ascii="Arial" w:hAnsi="Arial" w:cs="Arial"/>
        </w:rPr>
        <w:t>truments, interest rate derivatives, currency derivatives</w:t>
      </w:r>
      <w:r w:rsidR="00E775F0" w:rsidRPr="002B7D9F">
        <w:rPr>
          <w:rFonts w:ascii="Arial" w:hAnsi="Arial" w:cs="Arial"/>
        </w:rPr>
        <w:t>, equity derivatives</w:t>
      </w:r>
      <w:r w:rsidR="007D0329" w:rsidRPr="002B7D9F">
        <w:rPr>
          <w:rFonts w:ascii="Arial" w:hAnsi="Arial" w:cs="Arial"/>
        </w:rPr>
        <w:t xml:space="preserve"> and</w:t>
      </w:r>
      <w:r w:rsidR="00DA30C6" w:rsidRPr="002B7D9F">
        <w:rPr>
          <w:rFonts w:ascii="Arial" w:hAnsi="Arial" w:cs="Arial"/>
        </w:rPr>
        <w:t xml:space="preserve"> structured finance instruments</w:t>
      </w:r>
      <w:r w:rsidR="004E15A9" w:rsidRPr="002B7D9F">
        <w:t>.</w:t>
      </w:r>
      <w:r w:rsidR="00F06631" w:rsidRPr="00F06631">
        <w:rPr>
          <w:rFonts w:ascii="Arial" w:hAnsi="Arial" w:cs="Arial"/>
        </w:rPr>
        <w:t xml:space="preserve"> </w:t>
      </w:r>
    </w:p>
    <w:p w14:paraId="2E7C51EA" w14:textId="77777777" w:rsidR="00F06631" w:rsidRPr="00D21B88" w:rsidRDefault="00F06631" w:rsidP="00F06631">
      <w:pPr>
        <w:autoSpaceDE w:val="0"/>
        <w:autoSpaceDN w:val="0"/>
        <w:adjustRightInd w:val="0"/>
        <w:spacing w:after="0"/>
        <w:jc w:val="both"/>
        <w:rPr>
          <w:rFonts w:ascii="Arial" w:hAnsi="Arial" w:cs="Arial"/>
        </w:rPr>
      </w:pPr>
    </w:p>
    <w:p w14:paraId="725F4EDB" w14:textId="77777777" w:rsidR="004D72F6" w:rsidRDefault="004D72F6" w:rsidP="00D22E22">
      <w:pPr>
        <w:pStyle w:val="Default"/>
        <w:spacing w:line="276" w:lineRule="auto"/>
        <w:jc w:val="both"/>
        <w:rPr>
          <w:color w:val="1F497D" w:themeColor="text2"/>
          <w:sz w:val="22"/>
          <w:szCs w:val="22"/>
        </w:rPr>
      </w:pPr>
    </w:p>
    <w:p w14:paraId="4D611807" w14:textId="77777777" w:rsidR="007A7726" w:rsidRDefault="007A7726" w:rsidP="007A7726">
      <w:pPr>
        <w:pStyle w:val="Default"/>
        <w:spacing w:line="276" w:lineRule="auto"/>
        <w:jc w:val="both"/>
        <w:rPr>
          <w:color w:val="1F497D" w:themeColor="text2"/>
          <w:sz w:val="22"/>
          <w:szCs w:val="22"/>
        </w:rPr>
      </w:pPr>
      <w:r>
        <w:rPr>
          <w:sz w:val="22"/>
          <w:szCs w:val="22"/>
        </w:rPr>
        <w:t xml:space="preserve">For the purposes of this section, please note that our answers apply to all classes of financial instruments as set out in Annex 1 of </w:t>
      </w:r>
      <w:r w:rsidRPr="00E2731D">
        <w:rPr>
          <w:sz w:val="22"/>
          <w:szCs w:val="22"/>
        </w:rPr>
        <w:t>De</w:t>
      </w:r>
      <w:r w:rsidRPr="0023588A">
        <w:rPr>
          <w:sz w:val="22"/>
          <w:szCs w:val="22"/>
        </w:rPr>
        <w:t>legated Regulation EU 2017/576</w:t>
      </w:r>
      <w:r>
        <w:rPr>
          <w:sz w:val="22"/>
          <w:szCs w:val="22"/>
        </w:rPr>
        <w:t xml:space="preserve">. </w:t>
      </w:r>
    </w:p>
    <w:p w14:paraId="20E390BF" w14:textId="77777777" w:rsidR="007A7726" w:rsidRDefault="007A7726" w:rsidP="00D22E22">
      <w:pPr>
        <w:pStyle w:val="Default"/>
        <w:spacing w:line="276" w:lineRule="auto"/>
        <w:jc w:val="both"/>
        <w:rPr>
          <w:color w:val="1F497D" w:themeColor="text2"/>
          <w:sz w:val="22"/>
          <w:szCs w:val="22"/>
        </w:rPr>
      </w:pPr>
    </w:p>
    <w:p w14:paraId="5534BECF" w14:textId="77777777" w:rsidR="002427F9" w:rsidRDefault="002427F9" w:rsidP="00076D9E">
      <w:pPr>
        <w:pStyle w:val="Default"/>
        <w:spacing w:line="276" w:lineRule="auto"/>
        <w:ind w:left="720"/>
        <w:jc w:val="both"/>
        <w:rPr>
          <w:rFonts w:asciiTheme="majorHAnsi" w:eastAsiaTheme="majorEastAsia" w:hAnsiTheme="majorHAnsi" w:cstheme="majorBidi"/>
          <w:b/>
          <w:bCs/>
          <w:color w:val="365F91" w:themeColor="accent1" w:themeShade="BF"/>
          <w:sz w:val="28"/>
          <w:szCs w:val="28"/>
          <w:lang w:eastAsia="ja-JP"/>
        </w:rPr>
      </w:pPr>
    </w:p>
    <w:p w14:paraId="6388F9B7" w14:textId="77777777" w:rsidR="00F235FE" w:rsidRDefault="00F235FE" w:rsidP="00076D9E">
      <w:pPr>
        <w:pStyle w:val="Default"/>
        <w:spacing w:line="276" w:lineRule="auto"/>
        <w:ind w:left="720"/>
        <w:jc w:val="both"/>
        <w:rPr>
          <w:rFonts w:asciiTheme="majorHAnsi" w:eastAsiaTheme="majorEastAsia" w:hAnsiTheme="majorHAnsi" w:cstheme="majorBidi"/>
          <w:b/>
          <w:bCs/>
          <w:color w:val="365F91" w:themeColor="accent1" w:themeShade="BF"/>
          <w:sz w:val="28"/>
          <w:szCs w:val="28"/>
          <w:lang w:eastAsia="ja-JP"/>
        </w:rPr>
      </w:pPr>
    </w:p>
    <w:p w14:paraId="18E0DE9D" w14:textId="77777777" w:rsidR="00F235FE" w:rsidRPr="005524C2" w:rsidRDefault="00F235FE" w:rsidP="00076D9E">
      <w:pPr>
        <w:pStyle w:val="Default"/>
        <w:spacing w:line="276" w:lineRule="auto"/>
        <w:ind w:left="720"/>
        <w:jc w:val="both"/>
        <w:rPr>
          <w:rFonts w:asciiTheme="majorHAnsi" w:eastAsiaTheme="majorEastAsia" w:hAnsiTheme="majorHAnsi" w:cstheme="majorBidi"/>
          <w:b/>
          <w:bCs/>
          <w:color w:val="365F91" w:themeColor="accent1" w:themeShade="BF"/>
          <w:sz w:val="28"/>
          <w:szCs w:val="28"/>
          <w:lang w:eastAsia="ja-JP"/>
        </w:rPr>
      </w:pPr>
    </w:p>
    <w:p w14:paraId="05C8ED8D" w14:textId="77777777" w:rsidR="004D58EC" w:rsidRDefault="004D58EC" w:rsidP="004D58EC">
      <w:pPr>
        <w:pStyle w:val="Default"/>
        <w:spacing w:line="276" w:lineRule="auto"/>
        <w:ind w:left="720"/>
        <w:jc w:val="both"/>
        <w:rPr>
          <w:rFonts w:asciiTheme="majorHAnsi" w:eastAsiaTheme="majorEastAsia" w:hAnsiTheme="majorHAnsi" w:cstheme="majorBidi"/>
          <w:b/>
          <w:bCs/>
          <w:color w:val="365F91" w:themeColor="accent1" w:themeShade="BF"/>
          <w:sz w:val="28"/>
          <w:szCs w:val="28"/>
          <w:lang w:val="en-US" w:eastAsia="ja-JP"/>
        </w:rPr>
      </w:pPr>
    </w:p>
    <w:p w14:paraId="084DFCC3" w14:textId="77777777" w:rsidR="00825A7E" w:rsidRDefault="00825A7E">
      <w:pPr>
        <w:rPr>
          <w:rFonts w:asciiTheme="majorHAnsi" w:eastAsiaTheme="majorEastAsia" w:hAnsiTheme="majorHAnsi" w:cstheme="majorBidi"/>
          <w:b/>
          <w:bCs/>
          <w:color w:val="365F91" w:themeColor="accent1" w:themeShade="BF"/>
          <w:sz w:val="28"/>
          <w:szCs w:val="28"/>
          <w:lang w:val="en-US" w:eastAsia="ja-JP"/>
        </w:rPr>
      </w:pPr>
      <w:r>
        <w:rPr>
          <w:rFonts w:asciiTheme="majorHAnsi" w:eastAsiaTheme="majorEastAsia" w:hAnsiTheme="majorHAnsi" w:cstheme="majorBidi"/>
          <w:b/>
          <w:bCs/>
          <w:color w:val="365F91" w:themeColor="accent1" w:themeShade="BF"/>
          <w:sz w:val="28"/>
          <w:szCs w:val="28"/>
          <w:lang w:val="en-US" w:eastAsia="ja-JP"/>
        </w:rPr>
        <w:br w:type="page"/>
      </w:r>
    </w:p>
    <w:p w14:paraId="32E683B5" w14:textId="77777777" w:rsidR="004D72F6" w:rsidRPr="00076D9E" w:rsidRDefault="001E4C9A" w:rsidP="00F36363">
      <w:pPr>
        <w:pStyle w:val="Default"/>
        <w:numPr>
          <w:ilvl w:val="0"/>
          <w:numId w:val="17"/>
        </w:numPr>
        <w:spacing w:line="276" w:lineRule="auto"/>
        <w:jc w:val="both"/>
        <w:rPr>
          <w:rFonts w:asciiTheme="majorHAnsi" w:eastAsiaTheme="majorEastAsia" w:hAnsiTheme="majorHAnsi" w:cstheme="majorBidi"/>
          <w:b/>
          <w:bCs/>
          <w:color w:val="365F91" w:themeColor="accent1" w:themeShade="BF"/>
          <w:sz w:val="28"/>
          <w:szCs w:val="28"/>
          <w:lang w:val="en-US" w:eastAsia="ja-JP"/>
        </w:rPr>
      </w:pPr>
      <w:r w:rsidRPr="00076D9E">
        <w:rPr>
          <w:rFonts w:asciiTheme="majorHAnsi" w:eastAsiaTheme="majorEastAsia" w:hAnsiTheme="majorHAnsi" w:cstheme="majorBidi"/>
          <w:b/>
          <w:bCs/>
          <w:color w:val="365F91" w:themeColor="accent1" w:themeShade="BF"/>
          <w:sz w:val="28"/>
          <w:szCs w:val="28"/>
          <w:lang w:val="en-US" w:eastAsia="ja-JP"/>
        </w:rPr>
        <w:lastRenderedPageBreak/>
        <w:t>Part I</w:t>
      </w:r>
      <w:r w:rsidR="00076D9E" w:rsidRPr="00076D9E">
        <w:rPr>
          <w:rFonts w:asciiTheme="majorHAnsi" w:eastAsiaTheme="majorEastAsia" w:hAnsiTheme="majorHAnsi" w:cstheme="majorBidi"/>
          <w:b/>
          <w:bCs/>
          <w:color w:val="365F91" w:themeColor="accent1" w:themeShade="BF"/>
          <w:sz w:val="28"/>
          <w:szCs w:val="28"/>
          <w:lang w:val="en-US" w:eastAsia="ja-JP"/>
        </w:rPr>
        <w:t>: The top five execution venues details</w:t>
      </w:r>
    </w:p>
    <w:p w14:paraId="50577970" w14:textId="77777777" w:rsidR="00076D9E" w:rsidRPr="00825A7E" w:rsidRDefault="00076D9E" w:rsidP="00076D9E">
      <w:pPr>
        <w:pStyle w:val="Default"/>
        <w:spacing w:line="276" w:lineRule="auto"/>
        <w:ind w:left="720"/>
        <w:jc w:val="both"/>
        <w:rPr>
          <w:rFonts w:asciiTheme="minorHAnsi" w:hAnsiTheme="minorHAnsi"/>
          <w:b/>
          <w:color w:val="002060"/>
          <w:sz w:val="28"/>
          <w:szCs w:val="28"/>
          <w:lang w:val="en-US"/>
        </w:rPr>
      </w:pPr>
    </w:p>
    <w:p w14:paraId="46DAB0DA" w14:textId="77777777" w:rsidR="004A7523" w:rsidRDefault="004A7523" w:rsidP="00D22E22">
      <w:pPr>
        <w:pStyle w:val="Default"/>
        <w:spacing w:line="276" w:lineRule="auto"/>
        <w:jc w:val="both"/>
        <w:rPr>
          <w:rFonts w:asciiTheme="majorHAnsi" w:eastAsiaTheme="majorEastAsia" w:hAnsiTheme="majorHAnsi" w:cstheme="majorBidi"/>
          <w:b/>
          <w:bCs/>
          <w:color w:val="365F91" w:themeColor="accent1" w:themeShade="BF"/>
          <w:szCs w:val="28"/>
          <w:lang w:val="en-US" w:eastAsia="ja-JP"/>
        </w:rPr>
      </w:pPr>
      <w:r w:rsidRPr="00076D9E">
        <w:rPr>
          <w:rFonts w:asciiTheme="majorHAnsi" w:eastAsiaTheme="majorEastAsia" w:hAnsiTheme="majorHAnsi" w:cstheme="majorBidi"/>
          <w:b/>
          <w:bCs/>
          <w:color w:val="365F91" w:themeColor="accent1" w:themeShade="BF"/>
          <w:szCs w:val="28"/>
          <w:lang w:val="en-US" w:eastAsia="ja-JP"/>
        </w:rPr>
        <w:t xml:space="preserve">Top five execution venues in terms of trading volumes for executed </w:t>
      </w:r>
      <w:r w:rsidR="007D0329" w:rsidRPr="00076D9E">
        <w:rPr>
          <w:rFonts w:asciiTheme="majorHAnsi" w:eastAsiaTheme="majorEastAsia" w:hAnsiTheme="majorHAnsi" w:cstheme="majorBidi"/>
          <w:b/>
          <w:bCs/>
          <w:color w:val="365F91" w:themeColor="accent1" w:themeShade="BF"/>
          <w:szCs w:val="28"/>
          <w:lang w:val="en-US" w:eastAsia="ja-JP"/>
        </w:rPr>
        <w:t>Retail Client</w:t>
      </w:r>
      <w:r w:rsidRPr="00076D9E">
        <w:rPr>
          <w:rFonts w:asciiTheme="majorHAnsi" w:eastAsiaTheme="majorEastAsia" w:hAnsiTheme="majorHAnsi" w:cstheme="majorBidi"/>
          <w:b/>
          <w:bCs/>
          <w:color w:val="365F91" w:themeColor="accent1" w:themeShade="BF"/>
          <w:szCs w:val="28"/>
          <w:lang w:val="en-US" w:eastAsia="ja-JP"/>
        </w:rPr>
        <w:t xml:space="preserve"> orders (art. 3.1 of EU 2017/576)</w:t>
      </w:r>
    </w:p>
    <w:p w14:paraId="4EBF7C01" w14:textId="77777777" w:rsidR="00321F4B" w:rsidRDefault="00321F4B" w:rsidP="00D22E22">
      <w:pPr>
        <w:pStyle w:val="Default"/>
        <w:spacing w:line="276" w:lineRule="auto"/>
        <w:jc w:val="both"/>
        <w:rPr>
          <w:rFonts w:asciiTheme="majorHAnsi" w:eastAsiaTheme="majorEastAsia" w:hAnsiTheme="majorHAnsi" w:cstheme="majorBidi"/>
          <w:b/>
          <w:bCs/>
          <w:color w:val="365F91" w:themeColor="accent1" w:themeShade="BF"/>
          <w:szCs w:val="28"/>
          <w:lang w:val="en-US" w:eastAsia="ja-JP"/>
        </w:rPr>
      </w:pPr>
    </w:p>
    <w:tbl>
      <w:tblPr>
        <w:tblW w:w="10288" w:type="dxa"/>
        <w:tblCellMar>
          <w:left w:w="70" w:type="dxa"/>
          <w:right w:w="70" w:type="dxa"/>
        </w:tblCellMar>
        <w:tblLook w:val="04A0" w:firstRow="1" w:lastRow="0" w:firstColumn="1" w:lastColumn="0" w:noHBand="0" w:noVBand="1"/>
      </w:tblPr>
      <w:tblGrid>
        <w:gridCol w:w="2547"/>
        <w:gridCol w:w="160"/>
        <w:gridCol w:w="1140"/>
        <w:gridCol w:w="1272"/>
        <w:gridCol w:w="263"/>
        <w:gridCol w:w="1096"/>
        <w:gridCol w:w="1270"/>
        <w:gridCol w:w="1270"/>
        <w:gridCol w:w="1270"/>
      </w:tblGrid>
      <w:tr w:rsidR="009C0A77" w:rsidRPr="009C0A77" w14:paraId="0C513E0B" w14:textId="77777777" w:rsidTr="009C0A77">
        <w:trPr>
          <w:gridAfter w:val="1"/>
          <w:wAfter w:w="1270" w:type="dxa"/>
          <w:trHeight w:val="85"/>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FBEEC6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Class of Instrument</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3A81456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Interest Rate derivatives / Swaps, Forwards, and other Interest Rates Derivatives</w:t>
            </w:r>
          </w:p>
        </w:tc>
      </w:tr>
      <w:tr w:rsidR="009C0A77" w:rsidRPr="009C0A77" w14:paraId="00E0F74E" w14:textId="77777777" w:rsidTr="009C0A77">
        <w:trPr>
          <w:gridAfter w:val="1"/>
          <w:wAfter w:w="1270" w:type="dxa"/>
          <w:trHeight w:val="187"/>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3C5DE80"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78F5984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w:t>
            </w:r>
          </w:p>
        </w:tc>
      </w:tr>
      <w:tr w:rsidR="009C0A77" w:rsidRPr="009C0A77" w14:paraId="6C56A008" w14:textId="77777777" w:rsidTr="009C0A77">
        <w:trPr>
          <w:gridAfter w:val="1"/>
          <w:wAfter w:w="1270" w:type="dxa"/>
          <w:trHeight w:val="235"/>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17C0E5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300" w:type="dxa"/>
            <w:gridSpan w:val="2"/>
            <w:tcBorders>
              <w:top w:val="nil"/>
              <w:left w:val="nil"/>
              <w:bottom w:val="single" w:sz="4" w:space="0" w:color="auto"/>
              <w:right w:val="single" w:sz="4" w:space="0" w:color="auto"/>
            </w:tcBorders>
            <w:shd w:val="clear" w:color="auto" w:fill="auto"/>
            <w:vAlign w:val="center"/>
            <w:hideMark/>
          </w:tcPr>
          <w:p w14:paraId="1F3E7FB1"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volume traded as a percentage of total in that class</w:t>
            </w:r>
          </w:p>
        </w:tc>
        <w:tc>
          <w:tcPr>
            <w:tcW w:w="1535" w:type="dxa"/>
            <w:gridSpan w:val="2"/>
            <w:tcBorders>
              <w:top w:val="nil"/>
              <w:left w:val="nil"/>
              <w:bottom w:val="single" w:sz="4" w:space="0" w:color="auto"/>
              <w:right w:val="single" w:sz="4" w:space="0" w:color="auto"/>
            </w:tcBorders>
            <w:shd w:val="clear" w:color="auto" w:fill="auto"/>
            <w:vAlign w:val="center"/>
            <w:hideMark/>
          </w:tcPr>
          <w:p w14:paraId="3BB559B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orders executed as percentage of total in that class</w:t>
            </w:r>
          </w:p>
        </w:tc>
        <w:tc>
          <w:tcPr>
            <w:tcW w:w="1096" w:type="dxa"/>
            <w:tcBorders>
              <w:top w:val="nil"/>
              <w:left w:val="nil"/>
              <w:bottom w:val="single" w:sz="4" w:space="0" w:color="auto"/>
              <w:right w:val="single" w:sz="4" w:space="0" w:color="auto"/>
            </w:tcBorders>
            <w:shd w:val="clear" w:color="auto" w:fill="auto"/>
            <w:vAlign w:val="center"/>
            <w:hideMark/>
          </w:tcPr>
          <w:p w14:paraId="373F3545"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passive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0EEB5A9B"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agressive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75FFAB2C"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w:t>
            </w:r>
            <w:proofErr w:type="spellStart"/>
            <w:r w:rsidRPr="009C0A77">
              <w:rPr>
                <w:rFonts w:ascii="Times New Roman" w:eastAsia="Times New Roman" w:hAnsi="Times New Roman" w:cs="Times New Roman"/>
                <w:color w:val="000000"/>
                <w:sz w:val="14"/>
                <w:szCs w:val="14"/>
                <w:lang w:val="fr-FR" w:eastAsia="ja-JP"/>
              </w:rPr>
              <w:t>directed</w:t>
            </w:r>
            <w:proofErr w:type="spellEnd"/>
            <w:r w:rsidRPr="009C0A77">
              <w:rPr>
                <w:rFonts w:ascii="Times New Roman" w:eastAsia="Times New Roman" w:hAnsi="Times New Roman" w:cs="Times New Roman"/>
                <w:color w:val="000000"/>
                <w:sz w:val="14"/>
                <w:szCs w:val="14"/>
                <w:lang w:val="fr-FR" w:eastAsia="ja-JP"/>
              </w:rPr>
              <w:t xml:space="preserve"> </w:t>
            </w:r>
            <w:proofErr w:type="spellStart"/>
            <w:r w:rsidRPr="009C0A77">
              <w:rPr>
                <w:rFonts w:ascii="Times New Roman" w:eastAsia="Times New Roman" w:hAnsi="Times New Roman" w:cs="Times New Roman"/>
                <w:color w:val="000000"/>
                <w:sz w:val="14"/>
                <w:szCs w:val="14"/>
                <w:lang w:val="fr-FR" w:eastAsia="ja-JP"/>
              </w:rPr>
              <w:t>orders</w:t>
            </w:r>
            <w:proofErr w:type="spellEnd"/>
          </w:p>
        </w:tc>
      </w:tr>
      <w:tr w:rsidR="009C0A77" w:rsidRPr="009C0A77" w14:paraId="72D1AEB9" w14:textId="77777777" w:rsidTr="009C0A77">
        <w:trPr>
          <w:gridAfter w:val="1"/>
          <w:wAfter w:w="1270" w:type="dxa"/>
          <w:trHeight w:val="189"/>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246463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CREDIT AGRICOLE CIB (1VUV7VQFKUOQSJ21A208)</w:t>
            </w:r>
          </w:p>
        </w:tc>
        <w:tc>
          <w:tcPr>
            <w:tcW w:w="1300" w:type="dxa"/>
            <w:gridSpan w:val="2"/>
            <w:tcBorders>
              <w:top w:val="nil"/>
              <w:left w:val="nil"/>
              <w:bottom w:val="single" w:sz="4" w:space="0" w:color="auto"/>
              <w:right w:val="single" w:sz="4" w:space="0" w:color="auto"/>
            </w:tcBorders>
            <w:shd w:val="clear" w:color="auto" w:fill="auto"/>
            <w:vAlign w:val="center"/>
            <w:hideMark/>
          </w:tcPr>
          <w:p w14:paraId="6D00C12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535" w:type="dxa"/>
            <w:gridSpan w:val="2"/>
            <w:tcBorders>
              <w:top w:val="nil"/>
              <w:left w:val="nil"/>
              <w:bottom w:val="single" w:sz="4" w:space="0" w:color="auto"/>
              <w:right w:val="single" w:sz="4" w:space="0" w:color="auto"/>
            </w:tcBorders>
            <w:shd w:val="clear" w:color="auto" w:fill="auto"/>
            <w:vAlign w:val="center"/>
            <w:hideMark/>
          </w:tcPr>
          <w:p w14:paraId="50FF348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096" w:type="dxa"/>
            <w:tcBorders>
              <w:top w:val="nil"/>
              <w:left w:val="nil"/>
              <w:bottom w:val="single" w:sz="4" w:space="0" w:color="auto"/>
              <w:right w:val="single" w:sz="4" w:space="0" w:color="auto"/>
            </w:tcBorders>
            <w:shd w:val="clear" w:color="auto" w:fill="auto"/>
            <w:noWrap/>
            <w:vAlign w:val="center"/>
            <w:hideMark/>
          </w:tcPr>
          <w:p w14:paraId="698F424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37EFC90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05002D2C"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r>
      <w:tr w:rsidR="009C0A77" w:rsidRPr="009C0A77" w14:paraId="4ADEC000" w14:textId="77777777" w:rsidTr="009C0A77">
        <w:trPr>
          <w:trHeight w:val="227"/>
        </w:trPr>
        <w:tc>
          <w:tcPr>
            <w:tcW w:w="2547" w:type="dxa"/>
            <w:tcBorders>
              <w:top w:val="nil"/>
              <w:left w:val="nil"/>
              <w:bottom w:val="nil"/>
              <w:right w:val="nil"/>
            </w:tcBorders>
            <w:shd w:val="clear" w:color="auto" w:fill="auto"/>
            <w:noWrap/>
            <w:vAlign w:val="center"/>
          </w:tcPr>
          <w:p w14:paraId="7128E2D2" w14:textId="77777777" w:rsidR="009C0A77" w:rsidRPr="009C0A77" w:rsidRDefault="009C0A77" w:rsidP="009C0A77">
            <w:pPr>
              <w:spacing w:after="0" w:line="240" w:lineRule="auto"/>
              <w:rPr>
                <w:rFonts w:ascii="Times New Roman" w:eastAsia="Times New Roman" w:hAnsi="Times New Roman" w:cs="Times New Roman"/>
                <w:color w:val="000000"/>
                <w:sz w:val="4"/>
                <w:szCs w:val="4"/>
                <w:lang w:val="fr-FR" w:eastAsia="ja-JP"/>
              </w:rPr>
            </w:pPr>
          </w:p>
        </w:tc>
        <w:tc>
          <w:tcPr>
            <w:tcW w:w="160" w:type="dxa"/>
            <w:tcBorders>
              <w:top w:val="nil"/>
              <w:left w:val="nil"/>
              <w:bottom w:val="nil"/>
              <w:right w:val="nil"/>
            </w:tcBorders>
            <w:shd w:val="clear" w:color="auto" w:fill="auto"/>
            <w:noWrap/>
            <w:vAlign w:val="center"/>
          </w:tcPr>
          <w:p w14:paraId="4892769E"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2412" w:type="dxa"/>
            <w:gridSpan w:val="2"/>
            <w:tcBorders>
              <w:top w:val="nil"/>
              <w:left w:val="nil"/>
              <w:bottom w:val="nil"/>
              <w:right w:val="nil"/>
            </w:tcBorders>
            <w:shd w:val="clear" w:color="auto" w:fill="auto"/>
            <w:noWrap/>
            <w:vAlign w:val="center"/>
          </w:tcPr>
          <w:p w14:paraId="35DD6DA1"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359" w:type="dxa"/>
            <w:gridSpan w:val="2"/>
            <w:tcBorders>
              <w:top w:val="nil"/>
              <w:left w:val="nil"/>
              <w:bottom w:val="nil"/>
              <w:right w:val="nil"/>
            </w:tcBorders>
            <w:shd w:val="clear" w:color="auto" w:fill="auto"/>
            <w:noWrap/>
            <w:vAlign w:val="center"/>
          </w:tcPr>
          <w:p w14:paraId="0AC3985A"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270" w:type="dxa"/>
            <w:tcBorders>
              <w:top w:val="nil"/>
              <w:left w:val="nil"/>
              <w:bottom w:val="nil"/>
              <w:right w:val="nil"/>
            </w:tcBorders>
            <w:shd w:val="clear" w:color="auto" w:fill="auto"/>
            <w:noWrap/>
            <w:vAlign w:val="center"/>
          </w:tcPr>
          <w:p w14:paraId="0CB86687"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270" w:type="dxa"/>
            <w:tcBorders>
              <w:top w:val="nil"/>
              <w:left w:val="nil"/>
              <w:bottom w:val="nil"/>
              <w:right w:val="nil"/>
            </w:tcBorders>
            <w:shd w:val="clear" w:color="auto" w:fill="auto"/>
            <w:noWrap/>
            <w:vAlign w:val="center"/>
          </w:tcPr>
          <w:p w14:paraId="1941F481"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270" w:type="dxa"/>
            <w:tcBorders>
              <w:top w:val="nil"/>
              <w:left w:val="nil"/>
              <w:bottom w:val="nil"/>
              <w:right w:val="nil"/>
            </w:tcBorders>
            <w:shd w:val="clear" w:color="auto" w:fill="auto"/>
            <w:noWrap/>
            <w:vAlign w:val="center"/>
          </w:tcPr>
          <w:p w14:paraId="124DB9D4"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r>
      <w:tr w:rsidR="009C0A77" w:rsidRPr="009C0A77" w14:paraId="598C7125" w14:textId="77777777" w:rsidTr="009C0A77">
        <w:trPr>
          <w:gridAfter w:val="1"/>
          <w:wAfter w:w="1270" w:type="dxa"/>
          <w:trHeight w:val="189"/>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E788C80"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Class of Instrument</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51B2F5CC"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Currency derivatives / swaps, Forwards, and other Currency Derivatives</w:t>
            </w:r>
          </w:p>
        </w:tc>
      </w:tr>
      <w:tr w:rsidR="009C0A77" w:rsidRPr="009C0A77" w14:paraId="3403BFC7" w14:textId="77777777" w:rsidTr="009C0A77">
        <w:trPr>
          <w:gridAfter w:val="1"/>
          <w:wAfter w:w="1270" w:type="dxa"/>
          <w:trHeight w:val="135"/>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BDD70B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7939A88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w:t>
            </w:r>
          </w:p>
        </w:tc>
      </w:tr>
      <w:tr w:rsidR="009C0A77" w:rsidRPr="009C0A77" w14:paraId="214E88EE" w14:textId="77777777" w:rsidTr="009C0A77">
        <w:trPr>
          <w:gridAfter w:val="1"/>
          <w:wAfter w:w="1270" w:type="dxa"/>
          <w:trHeight w:val="18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EE102B2"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300" w:type="dxa"/>
            <w:gridSpan w:val="2"/>
            <w:tcBorders>
              <w:top w:val="nil"/>
              <w:left w:val="nil"/>
              <w:bottom w:val="single" w:sz="4" w:space="0" w:color="auto"/>
              <w:right w:val="single" w:sz="4" w:space="0" w:color="auto"/>
            </w:tcBorders>
            <w:shd w:val="clear" w:color="auto" w:fill="auto"/>
            <w:vAlign w:val="center"/>
            <w:hideMark/>
          </w:tcPr>
          <w:p w14:paraId="6931327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volume traded as a percentage of total in that class</w:t>
            </w:r>
          </w:p>
        </w:tc>
        <w:tc>
          <w:tcPr>
            <w:tcW w:w="1535" w:type="dxa"/>
            <w:gridSpan w:val="2"/>
            <w:tcBorders>
              <w:top w:val="nil"/>
              <w:left w:val="nil"/>
              <w:bottom w:val="single" w:sz="4" w:space="0" w:color="auto"/>
              <w:right w:val="single" w:sz="4" w:space="0" w:color="auto"/>
            </w:tcBorders>
            <w:shd w:val="clear" w:color="auto" w:fill="auto"/>
            <w:vAlign w:val="center"/>
            <w:hideMark/>
          </w:tcPr>
          <w:p w14:paraId="1F6ADEB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orders executed as percentage of total in that class</w:t>
            </w:r>
          </w:p>
        </w:tc>
        <w:tc>
          <w:tcPr>
            <w:tcW w:w="1096" w:type="dxa"/>
            <w:tcBorders>
              <w:top w:val="nil"/>
              <w:left w:val="nil"/>
              <w:bottom w:val="single" w:sz="4" w:space="0" w:color="auto"/>
              <w:right w:val="single" w:sz="4" w:space="0" w:color="auto"/>
            </w:tcBorders>
            <w:shd w:val="clear" w:color="auto" w:fill="auto"/>
            <w:vAlign w:val="center"/>
            <w:hideMark/>
          </w:tcPr>
          <w:p w14:paraId="61EF159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passive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2C1CB03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agressive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63A08D03"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w:t>
            </w:r>
            <w:proofErr w:type="spellStart"/>
            <w:r w:rsidRPr="009C0A77">
              <w:rPr>
                <w:rFonts w:ascii="Times New Roman" w:eastAsia="Times New Roman" w:hAnsi="Times New Roman" w:cs="Times New Roman"/>
                <w:color w:val="000000"/>
                <w:sz w:val="14"/>
                <w:szCs w:val="14"/>
                <w:lang w:val="fr-FR" w:eastAsia="ja-JP"/>
              </w:rPr>
              <w:t>directed</w:t>
            </w:r>
            <w:proofErr w:type="spellEnd"/>
            <w:r w:rsidRPr="009C0A77">
              <w:rPr>
                <w:rFonts w:ascii="Times New Roman" w:eastAsia="Times New Roman" w:hAnsi="Times New Roman" w:cs="Times New Roman"/>
                <w:color w:val="000000"/>
                <w:sz w:val="14"/>
                <w:szCs w:val="14"/>
                <w:lang w:val="fr-FR" w:eastAsia="ja-JP"/>
              </w:rPr>
              <w:t xml:space="preserve"> </w:t>
            </w:r>
            <w:proofErr w:type="spellStart"/>
            <w:r w:rsidRPr="009C0A77">
              <w:rPr>
                <w:rFonts w:ascii="Times New Roman" w:eastAsia="Times New Roman" w:hAnsi="Times New Roman" w:cs="Times New Roman"/>
                <w:color w:val="000000"/>
                <w:sz w:val="14"/>
                <w:szCs w:val="14"/>
                <w:lang w:val="fr-FR" w:eastAsia="ja-JP"/>
              </w:rPr>
              <w:t>orders</w:t>
            </w:r>
            <w:proofErr w:type="spellEnd"/>
          </w:p>
        </w:tc>
      </w:tr>
      <w:tr w:rsidR="009C0A77" w:rsidRPr="009C0A77" w14:paraId="202E6099" w14:textId="77777777" w:rsidTr="009C0A77">
        <w:trPr>
          <w:gridAfter w:val="1"/>
          <w:wAfter w:w="1270" w:type="dxa"/>
          <w:trHeight w:val="151"/>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CE7C7F5"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CREDIT AGRICOLE CIB (1VUV7VQFKUOQSJ21A208)</w:t>
            </w:r>
          </w:p>
        </w:tc>
        <w:tc>
          <w:tcPr>
            <w:tcW w:w="1300" w:type="dxa"/>
            <w:gridSpan w:val="2"/>
            <w:tcBorders>
              <w:top w:val="nil"/>
              <w:left w:val="nil"/>
              <w:bottom w:val="single" w:sz="4" w:space="0" w:color="auto"/>
              <w:right w:val="single" w:sz="4" w:space="0" w:color="auto"/>
            </w:tcBorders>
            <w:shd w:val="clear" w:color="auto" w:fill="auto"/>
            <w:vAlign w:val="center"/>
            <w:hideMark/>
          </w:tcPr>
          <w:p w14:paraId="42EEF65E"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535" w:type="dxa"/>
            <w:gridSpan w:val="2"/>
            <w:tcBorders>
              <w:top w:val="nil"/>
              <w:left w:val="nil"/>
              <w:bottom w:val="single" w:sz="4" w:space="0" w:color="auto"/>
              <w:right w:val="single" w:sz="4" w:space="0" w:color="auto"/>
            </w:tcBorders>
            <w:shd w:val="clear" w:color="auto" w:fill="auto"/>
            <w:vAlign w:val="center"/>
            <w:hideMark/>
          </w:tcPr>
          <w:p w14:paraId="646E515B"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096" w:type="dxa"/>
            <w:tcBorders>
              <w:top w:val="nil"/>
              <w:left w:val="nil"/>
              <w:bottom w:val="single" w:sz="4" w:space="0" w:color="auto"/>
              <w:right w:val="single" w:sz="4" w:space="0" w:color="auto"/>
            </w:tcBorders>
            <w:shd w:val="clear" w:color="auto" w:fill="auto"/>
            <w:noWrap/>
            <w:vAlign w:val="center"/>
            <w:hideMark/>
          </w:tcPr>
          <w:p w14:paraId="77340EC2"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23272E9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313382D1"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r>
      <w:tr w:rsidR="009C0A77" w:rsidRPr="009C0A77" w14:paraId="5D3034A3" w14:textId="77777777" w:rsidTr="009C0A77">
        <w:trPr>
          <w:trHeight w:val="227"/>
        </w:trPr>
        <w:tc>
          <w:tcPr>
            <w:tcW w:w="2547" w:type="dxa"/>
            <w:tcBorders>
              <w:top w:val="nil"/>
              <w:left w:val="nil"/>
              <w:bottom w:val="nil"/>
              <w:right w:val="nil"/>
            </w:tcBorders>
            <w:shd w:val="clear" w:color="auto" w:fill="auto"/>
            <w:noWrap/>
            <w:vAlign w:val="center"/>
            <w:hideMark/>
          </w:tcPr>
          <w:p w14:paraId="2E3C8ACD" w14:textId="77777777" w:rsidR="009C0A77" w:rsidRPr="009C0A77" w:rsidRDefault="009C0A77" w:rsidP="009C0A77">
            <w:pPr>
              <w:spacing w:after="0" w:line="240" w:lineRule="auto"/>
              <w:jc w:val="center"/>
              <w:rPr>
                <w:rFonts w:ascii="Times New Roman" w:eastAsia="Times New Roman" w:hAnsi="Times New Roman" w:cs="Times New Roman"/>
                <w:color w:val="000000"/>
                <w:sz w:val="4"/>
                <w:szCs w:val="4"/>
                <w:lang w:val="fr-FR" w:eastAsia="ja-JP"/>
              </w:rPr>
            </w:pPr>
          </w:p>
        </w:tc>
        <w:tc>
          <w:tcPr>
            <w:tcW w:w="160" w:type="dxa"/>
            <w:tcBorders>
              <w:top w:val="nil"/>
              <w:left w:val="nil"/>
              <w:bottom w:val="nil"/>
              <w:right w:val="nil"/>
            </w:tcBorders>
            <w:shd w:val="clear" w:color="auto" w:fill="auto"/>
            <w:noWrap/>
            <w:vAlign w:val="center"/>
            <w:hideMark/>
          </w:tcPr>
          <w:p w14:paraId="63A59D4F"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2412" w:type="dxa"/>
            <w:gridSpan w:val="2"/>
            <w:tcBorders>
              <w:top w:val="nil"/>
              <w:left w:val="nil"/>
              <w:bottom w:val="nil"/>
              <w:right w:val="nil"/>
            </w:tcBorders>
            <w:shd w:val="clear" w:color="auto" w:fill="auto"/>
            <w:noWrap/>
            <w:vAlign w:val="center"/>
            <w:hideMark/>
          </w:tcPr>
          <w:p w14:paraId="6390BA6F"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359" w:type="dxa"/>
            <w:gridSpan w:val="2"/>
            <w:tcBorders>
              <w:top w:val="nil"/>
              <w:left w:val="nil"/>
              <w:bottom w:val="nil"/>
              <w:right w:val="nil"/>
            </w:tcBorders>
            <w:shd w:val="clear" w:color="auto" w:fill="auto"/>
            <w:noWrap/>
            <w:vAlign w:val="center"/>
            <w:hideMark/>
          </w:tcPr>
          <w:p w14:paraId="424D3341"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270" w:type="dxa"/>
            <w:tcBorders>
              <w:top w:val="nil"/>
              <w:left w:val="nil"/>
              <w:bottom w:val="nil"/>
              <w:right w:val="nil"/>
            </w:tcBorders>
            <w:shd w:val="clear" w:color="auto" w:fill="auto"/>
            <w:noWrap/>
            <w:vAlign w:val="center"/>
            <w:hideMark/>
          </w:tcPr>
          <w:p w14:paraId="26B412EA"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270" w:type="dxa"/>
            <w:tcBorders>
              <w:top w:val="nil"/>
              <w:left w:val="nil"/>
              <w:bottom w:val="nil"/>
              <w:right w:val="nil"/>
            </w:tcBorders>
            <w:shd w:val="clear" w:color="auto" w:fill="auto"/>
            <w:noWrap/>
            <w:vAlign w:val="center"/>
            <w:hideMark/>
          </w:tcPr>
          <w:p w14:paraId="65466DBA"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270" w:type="dxa"/>
            <w:tcBorders>
              <w:top w:val="nil"/>
              <w:left w:val="nil"/>
              <w:bottom w:val="nil"/>
              <w:right w:val="nil"/>
            </w:tcBorders>
            <w:shd w:val="clear" w:color="auto" w:fill="auto"/>
            <w:noWrap/>
            <w:vAlign w:val="center"/>
            <w:hideMark/>
          </w:tcPr>
          <w:p w14:paraId="59EC66CA"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r>
      <w:tr w:rsidR="009C0A77" w:rsidRPr="009C0A77" w14:paraId="03F0A9CB"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D60489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Class of Instrument</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11CD16CE"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Bonds and others Debt instruments</w:t>
            </w:r>
          </w:p>
        </w:tc>
      </w:tr>
      <w:tr w:rsidR="009C0A77" w:rsidRPr="009C0A77" w14:paraId="6DE9121A" w14:textId="77777777" w:rsidTr="009C0A77">
        <w:trPr>
          <w:gridAfter w:val="1"/>
          <w:wAfter w:w="1270" w:type="dxa"/>
          <w:trHeight w:val="98"/>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2AE72C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39758E83"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w:t>
            </w:r>
          </w:p>
        </w:tc>
      </w:tr>
      <w:tr w:rsidR="009C0A77" w:rsidRPr="009C0A77" w14:paraId="0B62F309" w14:textId="77777777" w:rsidTr="009C0A77">
        <w:trPr>
          <w:gridAfter w:val="1"/>
          <w:wAfter w:w="1270" w:type="dxa"/>
          <w:trHeight w:val="145"/>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168597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300" w:type="dxa"/>
            <w:gridSpan w:val="2"/>
            <w:tcBorders>
              <w:top w:val="nil"/>
              <w:left w:val="nil"/>
              <w:bottom w:val="single" w:sz="4" w:space="0" w:color="auto"/>
              <w:right w:val="single" w:sz="4" w:space="0" w:color="auto"/>
            </w:tcBorders>
            <w:shd w:val="clear" w:color="auto" w:fill="auto"/>
            <w:vAlign w:val="center"/>
            <w:hideMark/>
          </w:tcPr>
          <w:p w14:paraId="3B3D2B55"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volume traded as a percentage of total in that class</w:t>
            </w:r>
          </w:p>
        </w:tc>
        <w:tc>
          <w:tcPr>
            <w:tcW w:w="1535" w:type="dxa"/>
            <w:gridSpan w:val="2"/>
            <w:tcBorders>
              <w:top w:val="nil"/>
              <w:left w:val="nil"/>
              <w:bottom w:val="single" w:sz="4" w:space="0" w:color="auto"/>
              <w:right w:val="single" w:sz="4" w:space="0" w:color="auto"/>
            </w:tcBorders>
            <w:shd w:val="clear" w:color="auto" w:fill="auto"/>
            <w:vAlign w:val="center"/>
            <w:hideMark/>
          </w:tcPr>
          <w:p w14:paraId="34B43472"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orders executed as percentage of total in that class</w:t>
            </w:r>
          </w:p>
        </w:tc>
        <w:tc>
          <w:tcPr>
            <w:tcW w:w="1096" w:type="dxa"/>
            <w:tcBorders>
              <w:top w:val="nil"/>
              <w:left w:val="nil"/>
              <w:bottom w:val="single" w:sz="4" w:space="0" w:color="auto"/>
              <w:right w:val="single" w:sz="4" w:space="0" w:color="auto"/>
            </w:tcBorders>
            <w:shd w:val="clear" w:color="auto" w:fill="auto"/>
            <w:vAlign w:val="center"/>
            <w:hideMark/>
          </w:tcPr>
          <w:p w14:paraId="004CC7B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passive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1C968A3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agressive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5640B4B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w:t>
            </w:r>
            <w:proofErr w:type="spellStart"/>
            <w:r w:rsidRPr="009C0A77">
              <w:rPr>
                <w:rFonts w:ascii="Times New Roman" w:eastAsia="Times New Roman" w:hAnsi="Times New Roman" w:cs="Times New Roman"/>
                <w:color w:val="000000"/>
                <w:sz w:val="14"/>
                <w:szCs w:val="14"/>
                <w:lang w:val="fr-FR" w:eastAsia="ja-JP"/>
              </w:rPr>
              <w:t>directed</w:t>
            </w:r>
            <w:proofErr w:type="spellEnd"/>
            <w:r w:rsidRPr="009C0A77">
              <w:rPr>
                <w:rFonts w:ascii="Times New Roman" w:eastAsia="Times New Roman" w:hAnsi="Times New Roman" w:cs="Times New Roman"/>
                <w:color w:val="000000"/>
                <w:sz w:val="14"/>
                <w:szCs w:val="14"/>
                <w:lang w:val="fr-FR" w:eastAsia="ja-JP"/>
              </w:rPr>
              <w:t xml:space="preserve"> </w:t>
            </w:r>
            <w:proofErr w:type="spellStart"/>
            <w:r w:rsidRPr="009C0A77">
              <w:rPr>
                <w:rFonts w:ascii="Times New Roman" w:eastAsia="Times New Roman" w:hAnsi="Times New Roman" w:cs="Times New Roman"/>
                <w:color w:val="000000"/>
                <w:sz w:val="14"/>
                <w:szCs w:val="14"/>
                <w:lang w:val="fr-FR" w:eastAsia="ja-JP"/>
              </w:rPr>
              <w:t>orders</w:t>
            </w:r>
            <w:proofErr w:type="spellEnd"/>
          </w:p>
        </w:tc>
      </w:tr>
      <w:tr w:rsidR="009C0A77" w:rsidRPr="009C0A77" w14:paraId="0525A9A9"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12461B"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CREDIT AGRICOLE CIB (1VUV7VQFKUOQSJ21A208)</w:t>
            </w:r>
          </w:p>
        </w:tc>
        <w:tc>
          <w:tcPr>
            <w:tcW w:w="1300" w:type="dxa"/>
            <w:gridSpan w:val="2"/>
            <w:tcBorders>
              <w:top w:val="nil"/>
              <w:left w:val="nil"/>
              <w:bottom w:val="single" w:sz="4" w:space="0" w:color="auto"/>
              <w:right w:val="single" w:sz="4" w:space="0" w:color="auto"/>
            </w:tcBorders>
            <w:shd w:val="clear" w:color="auto" w:fill="auto"/>
            <w:vAlign w:val="center"/>
            <w:hideMark/>
          </w:tcPr>
          <w:p w14:paraId="4E186F9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535" w:type="dxa"/>
            <w:gridSpan w:val="2"/>
            <w:tcBorders>
              <w:top w:val="nil"/>
              <w:left w:val="nil"/>
              <w:bottom w:val="single" w:sz="4" w:space="0" w:color="auto"/>
              <w:right w:val="single" w:sz="4" w:space="0" w:color="auto"/>
            </w:tcBorders>
            <w:shd w:val="clear" w:color="auto" w:fill="auto"/>
            <w:vAlign w:val="center"/>
            <w:hideMark/>
          </w:tcPr>
          <w:p w14:paraId="1A7E08BE"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096" w:type="dxa"/>
            <w:tcBorders>
              <w:top w:val="nil"/>
              <w:left w:val="nil"/>
              <w:bottom w:val="single" w:sz="4" w:space="0" w:color="auto"/>
              <w:right w:val="single" w:sz="4" w:space="0" w:color="auto"/>
            </w:tcBorders>
            <w:shd w:val="clear" w:color="auto" w:fill="auto"/>
            <w:noWrap/>
            <w:vAlign w:val="center"/>
            <w:hideMark/>
          </w:tcPr>
          <w:p w14:paraId="7022116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6603697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2BF22FE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r>
      <w:tr w:rsidR="009C0A77" w:rsidRPr="009C0A77" w14:paraId="2004D065" w14:textId="77777777" w:rsidTr="009C0A77">
        <w:trPr>
          <w:trHeight w:val="227"/>
        </w:trPr>
        <w:tc>
          <w:tcPr>
            <w:tcW w:w="2547" w:type="dxa"/>
            <w:tcBorders>
              <w:top w:val="nil"/>
              <w:left w:val="nil"/>
              <w:bottom w:val="nil"/>
              <w:right w:val="nil"/>
            </w:tcBorders>
            <w:shd w:val="clear" w:color="auto" w:fill="auto"/>
            <w:noWrap/>
            <w:vAlign w:val="center"/>
            <w:hideMark/>
          </w:tcPr>
          <w:p w14:paraId="10EA76F6" w14:textId="77777777" w:rsidR="009C0A77" w:rsidRPr="009C0A77" w:rsidRDefault="009C0A77" w:rsidP="009C0A77">
            <w:pPr>
              <w:spacing w:after="0" w:line="240" w:lineRule="auto"/>
              <w:jc w:val="center"/>
              <w:rPr>
                <w:rFonts w:ascii="Times New Roman" w:eastAsia="Times New Roman" w:hAnsi="Times New Roman" w:cs="Times New Roman"/>
                <w:color w:val="000000"/>
                <w:sz w:val="4"/>
                <w:szCs w:val="4"/>
                <w:lang w:val="fr-FR" w:eastAsia="ja-JP"/>
              </w:rPr>
            </w:pPr>
          </w:p>
        </w:tc>
        <w:tc>
          <w:tcPr>
            <w:tcW w:w="160" w:type="dxa"/>
            <w:tcBorders>
              <w:top w:val="nil"/>
              <w:left w:val="nil"/>
              <w:bottom w:val="nil"/>
              <w:right w:val="nil"/>
            </w:tcBorders>
            <w:shd w:val="clear" w:color="auto" w:fill="auto"/>
            <w:noWrap/>
            <w:vAlign w:val="center"/>
            <w:hideMark/>
          </w:tcPr>
          <w:p w14:paraId="0DE2888C"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2412" w:type="dxa"/>
            <w:gridSpan w:val="2"/>
            <w:tcBorders>
              <w:top w:val="nil"/>
              <w:left w:val="nil"/>
              <w:bottom w:val="nil"/>
              <w:right w:val="nil"/>
            </w:tcBorders>
            <w:shd w:val="clear" w:color="auto" w:fill="auto"/>
            <w:noWrap/>
            <w:vAlign w:val="center"/>
            <w:hideMark/>
          </w:tcPr>
          <w:p w14:paraId="469D19C8"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359" w:type="dxa"/>
            <w:gridSpan w:val="2"/>
            <w:tcBorders>
              <w:top w:val="nil"/>
              <w:left w:val="nil"/>
              <w:bottom w:val="nil"/>
              <w:right w:val="nil"/>
            </w:tcBorders>
            <w:shd w:val="clear" w:color="auto" w:fill="auto"/>
            <w:noWrap/>
            <w:vAlign w:val="center"/>
            <w:hideMark/>
          </w:tcPr>
          <w:p w14:paraId="13F2ECF8"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270" w:type="dxa"/>
            <w:tcBorders>
              <w:top w:val="nil"/>
              <w:left w:val="nil"/>
              <w:bottom w:val="nil"/>
              <w:right w:val="nil"/>
            </w:tcBorders>
            <w:shd w:val="clear" w:color="auto" w:fill="auto"/>
            <w:noWrap/>
            <w:vAlign w:val="center"/>
            <w:hideMark/>
          </w:tcPr>
          <w:p w14:paraId="69799B5E"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270" w:type="dxa"/>
            <w:tcBorders>
              <w:top w:val="nil"/>
              <w:left w:val="nil"/>
              <w:bottom w:val="nil"/>
              <w:right w:val="nil"/>
            </w:tcBorders>
            <w:shd w:val="clear" w:color="auto" w:fill="auto"/>
            <w:noWrap/>
            <w:vAlign w:val="center"/>
            <w:hideMark/>
          </w:tcPr>
          <w:p w14:paraId="794A449B"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270" w:type="dxa"/>
            <w:tcBorders>
              <w:top w:val="nil"/>
              <w:left w:val="nil"/>
              <w:bottom w:val="nil"/>
              <w:right w:val="nil"/>
            </w:tcBorders>
            <w:shd w:val="clear" w:color="auto" w:fill="auto"/>
            <w:noWrap/>
            <w:vAlign w:val="center"/>
            <w:hideMark/>
          </w:tcPr>
          <w:p w14:paraId="3136D7E2"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r>
      <w:tr w:rsidR="009C0A77" w:rsidRPr="009C0A77" w14:paraId="7391FB7C"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3BB7D9E"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Class of Instrument</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7ACF08D0"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Equity Derivatives / Options, Futures, Swap and Other Equity Derivatives</w:t>
            </w:r>
          </w:p>
        </w:tc>
      </w:tr>
      <w:tr w:rsidR="009C0A77" w:rsidRPr="009C0A77" w14:paraId="73B8867E" w14:textId="77777777" w:rsidTr="009C0A77">
        <w:trPr>
          <w:gridAfter w:val="1"/>
          <w:wAfter w:w="1270" w:type="dxa"/>
          <w:trHeight w:val="207"/>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269C1D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6E3EA122"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w:t>
            </w:r>
          </w:p>
        </w:tc>
      </w:tr>
      <w:tr w:rsidR="009C0A77" w:rsidRPr="009C0A77" w14:paraId="10C2AB9F" w14:textId="77777777" w:rsidTr="009C0A77">
        <w:trPr>
          <w:gridAfter w:val="1"/>
          <w:wAfter w:w="1270" w:type="dxa"/>
          <w:trHeight w:val="26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90C746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300" w:type="dxa"/>
            <w:gridSpan w:val="2"/>
            <w:tcBorders>
              <w:top w:val="nil"/>
              <w:left w:val="nil"/>
              <w:bottom w:val="single" w:sz="4" w:space="0" w:color="auto"/>
              <w:right w:val="single" w:sz="4" w:space="0" w:color="auto"/>
            </w:tcBorders>
            <w:shd w:val="clear" w:color="auto" w:fill="auto"/>
            <w:vAlign w:val="center"/>
            <w:hideMark/>
          </w:tcPr>
          <w:p w14:paraId="3DDA6B2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volume traded as a percentage of total in that class</w:t>
            </w:r>
          </w:p>
        </w:tc>
        <w:tc>
          <w:tcPr>
            <w:tcW w:w="1535" w:type="dxa"/>
            <w:gridSpan w:val="2"/>
            <w:tcBorders>
              <w:top w:val="nil"/>
              <w:left w:val="nil"/>
              <w:bottom w:val="single" w:sz="4" w:space="0" w:color="auto"/>
              <w:right w:val="single" w:sz="4" w:space="0" w:color="auto"/>
            </w:tcBorders>
            <w:shd w:val="clear" w:color="auto" w:fill="auto"/>
            <w:vAlign w:val="center"/>
            <w:hideMark/>
          </w:tcPr>
          <w:p w14:paraId="7F4DD24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orders executed as percentage of total in that class</w:t>
            </w:r>
          </w:p>
        </w:tc>
        <w:tc>
          <w:tcPr>
            <w:tcW w:w="1096" w:type="dxa"/>
            <w:tcBorders>
              <w:top w:val="nil"/>
              <w:left w:val="nil"/>
              <w:bottom w:val="single" w:sz="4" w:space="0" w:color="auto"/>
              <w:right w:val="single" w:sz="4" w:space="0" w:color="auto"/>
            </w:tcBorders>
            <w:shd w:val="clear" w:color="auto" w:fill="auto"/>
            <w:vAlign w:val="center"/>
            <w:hideMark/>
          </w:tcPr>
          <w:p w14:paraId="67887AC1"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passive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79DA284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agressive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4148611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w:t>
            </w:r>
            <w:proofErr w:type="spellStart"/>
            <w:r w:rsidRPr="009C0A77">
              <w:rPr>
                <w:rFonts w:ascii="Times New Roman" w:eastAsia="Times New Roman" w:hAnsi="Times New Roman" w:cs="Times New Roman"/>
                <w:color w:val="000000"/>
                <w:sz w:val="14"/>
                <w:szCs w:val="14"/>
                <w:lang w:val="fr-FR" w:eastAsia="ja-JP"/>
              </w:rPr>
              <w:t>directed</w:t>
            </w:r>
            <w:proofErr w:type="spellEnd"/>
            <w:r w:rsidRPr="009C0A77">
              <w:rPr>
                <w:rFonts w:ascii="Times New Roman" w:eastAsia="Times New Roman" w:hAnsi="Times New Roman" w:cs="Times New Roman"/>
                <w:color w:val="000000"/>
                <w:sz w:val="14"/>
                <w:szCs w:val="14"/>
                <w:lang w:val="fr-FR" w:eastAsia="ja-JP"/>
              </w:rPr>
              <w:t xml:space="preserve"> </w:t>
            </w:r>
            <w:proofErr w:type="spellStart"/>
            <w:r w:rsidRPr="009C0A77">
              <w:rPr>
                <w:rFonts w:ascii="Times New Roman" w:eastAsia="Times New Roman" w:hAnsi="Times New Roman" w:cs="Times New Roman"/>
                <w:color w:val="000000"/>
                <w:sz w:val="14"/>
                <w:szCs w:val="14"/>
                <w:lang w:val="fr-FR" w:eastAsia="ja-JP"/>
              </w:rPr>
              <w:t>orders</w:t>
            </w:r>
            <w:proofErr w:type="spellEnd"/>
          </w:p>
        </w:tc>
      </w:tr>
      <w:tr w:rsidR="009C0A77" w:rsidRPr="009C0A77" w14:paraId="0782C633" w14:textId="77777777" w:rsidTr="009C0A77">
        <w:trPr>
          <w:gridAfter w:val="1"/>
          <w:wAfter w:w="1270" w:type="dxa"/>
          <w:trHeight w:val="76"/>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E9F92"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CREDIT AGRICOLE CIB (1VUV7VQFKUOQSJ21A208)</w:t>
            </w:r>
          </w:p>
        </w:tc>
        <w:tc>
          <w:tcPr>
            <w:tcW w:w="1300" w:type="dxa"/>
            <w:gridSpan w:val="2"/>
            <w:tcBorders>
              <w:top w:val="nil"/>
              <w:left w:val="nil"/>
              <w:bottom w:val="single" w:sz="4" w:space="0" w:color="auto"/>
              <w:right w:val="single" w:sz="4" w:space="0" w:color="auto"/>
            </w:tcBorders>
            <w:shd w:val="clear" w:color="auto" w:fill="auto"/>
            <w:vAlign w:val="center"/>
            <w:hideMark/>
          </w:tcPr>
          <w:p w14:paraId="587C6F57"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535" w:type="dxa"/>
            <w:gridSpan w:val="2"/>
            <w:tcBorders>
              <w:top w:val="nil"/>
              <w:left w:val="nil"/>
              <w:bottom w:val="single" w:sz="4" w:space="0" w:color="auto"/>
              <w:right w:val="single" w:sz="4" w:space="0" w:color="auto"/>
            </w:tcBorders>
            <w:shd w:val="clear" w:color="auto" w:fill="auto"/>
            <w:vAlign w:val="center"/>
            <w:hideMark/>
          </w:tcPr>
          <w:p w14:paraId="38C84B80"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096" w:type="dxa"/>
            <w:tcBorders>
              <w:top w:val="nil"/>
              <w:left w:val="nil"/>
              <w:bottom w:val="single" w:sz="4" w:space="0" w:color="auto"/>
              <w:right w:val="single" w:sz="4" w:space="0" w:color="auto"/>
            </w:tcBorders>
            <w:shd w:val="clear" w:color="auto" w:fill="auto"/>
            <w:noWrap/>
            <w:vAlign w:val="center"/>
            <w:hideMark/>
          </w:tcPr>
          <w:p w14:paraId="770540BE"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1F91B1A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335964F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r>
      <w:tr w:rsidR="009C0A77" w:rsidRPr="009C0A77" w14:paraId="631FCCF4" w14:textId="77777777" w:rsidTr="009C0A77">
        <w:trPr>
          <w:trHeight w:val="227"/>
        </w:trPr>
        <w:tc>
          <w:tcPr>
            <w:tcW w:w="2547" w:type="dxa"/>
            <w:tcBorders>
              <w:top w:val="nil"/>
              <w:left w:val="nil"/>
              <w:bottom w:val="nil"/>
              <w:right w:val="nil"/>
            </w:tcBorders>
            <w:shd w:val="clear" w:color="auto" w:fill="auto"/>
            <w:noWrap/>
            <w:vAlign w:val="center"/>
            <w:hideMark/>
          </w:tcPr>
          <w:p w14:paraId="3EFA590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
        </w:tc>
        <w:tc>
          <w:tcPr>
            <w:tcW w:w="160" w:type="dxa"/>
            <w:tcBorders>
              <w:top w:val="nil"/>
              <w:left w:val="nil"/>
              <w:bottom w:val="nil"/>
              <w:right w:val="nil"/>
            </w:tcBorders>
            <w:shd w:val="clear" w:color="auto" w:fill="auto"/>
            <w:noWrap/>
            <w:vAlign w:val="center"/>
            <w:hideMark/>
          </w:tcPr>
          <w:p w14:paraId="25368530"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2412" w:type="dxa"/>
            <w:gridSpan w:val="2"/>
            <w:tcBorders>
              <w:top w:val="nil"/>
              <w:left w:val="nil"/>
              <w:bottom w:val="nil"/>
              <w:right w:val="nil"/>
            </w:tcBorders>
            <w:shd w:val="clear" w:color="auto" w:fill="auto"/>
            <w:noWrap/>
            <w:vAlign w:val="center"/>
            <w:hideMark/>
          </w:tcPr>
          <w:p w14:paraId="37A050E3"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359" w:type="dxa"/>
            <w:gridSpan w:val="2"/>
            <w:tcBorders>
              <w:top w:val="nil"/>
              <w:left w:val="nil"/>
              <w:bottom w:val="nil"/>
              <w:right w:val="nil"/>
            </w:tcBorders>
            <w:shd w:val="clear" w:color="auto" w:fill="auto"/>
            <w:noWrap/>
            <w:vAlign w:val="center"/>
            <w:hideMark/>
          </w:tcPr>
          <w:p w14:paraId="1C4BF520"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270" w:type="dxa"/>
            <w:tcBorders>
              <w:top w:val="nil"/>
              <w:left w:val="nil"/>
              <w:bottom w:val="nil"/>
              <w:right w:val="nil"/>
            </w:tcBorders>
            <w:shd w:val="clear" w:color="auto" w:fill="auto"/>
            <w:noWrap/>
            <w:vAlign w:val="center"/>
            <w:hideMark/>
          </w:tcPr>
          <w:p w14:paraId="29078C3E"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270" w:type="dxa"/>
            <w:tcBorders>
              <w:top w:val="nil"/>
              <w:left w:val="nil"/>
              <w:bottom w:val="nil"/>
              <w:right w:val="nil"/>
            </w:tcBorders>
            <w:shd w:val="clear" w:color="auto" w:fill="auto"/>
            <w:noWrap/>
            <w:vAlign w:val="center"/>
            <w:hideMark/>
          </w:tcPr>
          <w:p w14:paraId="219BE22B"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270" w:type="dxa"/>
            <w:tcBorders>
              <w:top w:val="nil"/>
              <w:left w:val="nil"/>
              <w:bottom w:val="nil"/>
              <w:right w:val="nil"/>
            </w:tcBorders>
            <w:shd w:val="clear" w:color="auto" w:fill="auto"/>
            <w:noWrap/>
            <w:vAlign w:val="center"/>
            <w:hideMark/>
          </w:tcPr>
          <w:p w14:paraId="74405593"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r>
      <w:tr w:rsidR="009C0A77" w:rsidRPr="009C0A77" w14:paraId="4AD41796"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606A3D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Class of Instrument</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57C8BBA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Structured</w:t>
            </w:r>
            <w:proofErr w:type="spellEnd"/>
            <w:r w:rsidRPr="009C0A77">
              <w:rPr>
                <w:rFonts w:ascii="Times New Roman" w:eastAsia="Times New Roman" w:hAnsi="Times New Roman" w:cs="Times New Roman"/>
                <w:color w:val="000000"/>
                <w:sz w:val="14"/>
                <w:szCs w:val="14"/>
                <w:lang w:val="fr-FR" w:eastAsia="ja-JP"/>
              </w:rPr>
              <w:t xml:space="preserve"> Finance Instruments</w:t>
            </w:r>
          </w:p>
        </w:tc>
      </w:tr>
      <w:tr w:rsidR="009C0A77" w:rsidRPr="009C0A77" w14:paraId="4B593C33"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599C37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36ED5EC3"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w:t>
            </w:r>
          </w:p>
        </w:tc>
      </w:tr>
      <w:tr w:rsidR="009C0A77" w:rsidRPr="009C0A77" w14:paraId="6A2FF8B7"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96756CE"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300" w:type="dxa"/>
            <w:gridSpan w:val="2"/>
            <w:tcBorders>
              <w:top w:val="nil"/>
              <w:left w:val="nil"/>
              <w:bottom w:val="single" w:sz="4" w:space="0" w:color="auto"/>
              <w:right w:val="single" w:sz="4" w:space="0" w:color="auto"/>
            </w:tcBorders>
            <w:shd w:val="clear" w:color="auto" w:fill="auto"/>
            <w:vAlign w:val="center"/>
            <w:hideMark/>
          </w:tcPr>
          <w:p w14:paraId="4C79F45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volume traded as a percentage of total in that class</w:t>
            </w:r>
          </w:p>
        </w:tc>
        <w:tc>
          <w:tcPr>
            <w:tcW w:w="1535" w:type="dxa"/>
            <w:gridSpan w:val="2"/>
            <w:tcBorders>
              <w:top w:val="nil"/>
              <w:left w:val="nil"/>
              <w:bottom w:val="single" w:sz="4" w:space="0" w:color="auto"/>
              <w:right w:val="single" w:sz="4" w:space="0" w:color="auto"/>
            </w:tcBorders>
            <w:shd w:val="clear" w:color="auto" w:fill="auto"/>
            <w:vAlign w:val="center"/>
            <w:hideMark/>
          </w:tcPr>
          <w:p w14:paraId="7DA00086"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orders executed as percentage of total in that class</w:t>
            </w:r>
          </w:p>
        </w:tc>
        <w:tc>
          <w:tcPr>
            <w:tcW w:w="1096" w:type="dxa"/>
            <w:tcBorders>
              <w:top w:val="nil"/>
              <w:left w:val="nil"/>
              <w:bottom w:val="single" w:sz="4" w:space="0" w:color="auto"/>
              <w:right w:val="single" w:sz="4" w:space="0" w:color="auto"/>
            </w:tcBorders>
            <w:shd w:val="clear" w:color="auto" w:fill="auto"/>
            <w:vAlign w:val="center"/>
            <w:hideMark/>
          </w:tcPr>
          <w:p w14:paraId="7E41211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passive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239F7ED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agressive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38D1F850"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w:t>
            </w:r>
            <w:proofErr w:type="spellStart"/>
            <w:r w:rsidRPr="009C0A77">
              <w:rPr>
                <w:rFonts w:ascii="Times New Roman" w:eastAsia="Times New Roman" w:hAnsi="Times New Roman" w:cs="Times New Roman"/>
                <w:color w:val="000000"/>
                <w:sz w:val="14"/>
                <w:szCs w:val="14"/>
                <w:lang w:val="fr-FR" w:eastAsia="ja-JP"/>
              </w:rPr>
              <w:t>directed</w:t>
            </w:r>
            <w:proofErr w:type="spellEnd"/>
            <w:r w:rsidRPr="009C0A77">
              <w:rPr>
                <w:rFonts w:ascii="Times New Roman" w:eastAsia="Times New Roman" w:hAnsi="Times New Roman" w:cs="Times New Roman"/>
                <w:color w:val="000000"/>
                <w:sz w:val="14"/>
                <w:szCs w:val="14"/>
                <w:lang w:val="fr-FR" w:eastAsia="ja-JP"/>
              </w:rPr>
              <w:t xml:space="preserve"> </w:t>
            </w:r>
            <w:proofErr w:type="spellStart"/>
            <w:r w:rsidRPr="009C0A77">
              <w:rPr>
                <w:rFonts w:ascii="Times New Roman" w:eastAsia="Times New Roman" w:hAnsi="Times New Roman" w:cs="Times New Roman"/>
                <w:color w:val="000000"/>
                <w:sz w:val="14"/>
                <w:szCs w:val="14"/>
                <w:lang w:val="fr-FR" w:eastAsia="ja-JP"/>
              </w:rPr>
              <w:t>orders</w:t>
            </w:r>
            <w:proofErr w:type="spellEnd"/>
          </w:p>
        </w:tc>
      </w:tr>
      <w:tr w:rsidR="009C0A77" w:rsidRPr="009C0A77" w14:paraId="36206C3A"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D6574A6"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CREDIT AGRICOLE CIB (1VUV7VQFKUOQSJ21A208)</w:t>
            </w:r>
          </w:p>
        </w:tc>
        <w:tc>
          <w:tcPr>
            <w:tcW w:w="1300" w:type="dxa"/>
            <w:gridSpan w:val="2"/>
            <w:tcBorders>
              <w:top w:val="nil"/>
              <w:left w:val="nil"/>
              <w:bottom w:val="single" w:sz="4" w:space="0" w:color="auto"/>
              <w:right w:val="single" w:sz="4" w:space="0" w:color="auto"/>
            </w:tcBorders>
            <w:shd w:val="clear" w:color="auto" w:fill="auto"/>
            <w:vAlign w:val="center"/>
            <w:hideMark/>
          </w:tcPr>
          <w:p w14:paraId="4838DAEC"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535" w:type="dxa"/>
            <w:gridSpan w:val="2"/>
            <w:tcBorders>
              <w:top w:val="nil"/>
              <w:left w:val="nil"/>
              <w:bottom w:val="single" w:sz="4" w:space="0" w:color="auto"/>
              <w:right w:val="single" w:sz="4" w:space="0" w:color="auto"/>
            </w:tcBorders>
            <w:shd w:val="clear" w:color="auto" w:fill="auto"/>
            <w:vAlign w:val="center"/>
            <w:hideMark/>
          </w:tcPr>
          <w:p w14:paraId="483368A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096" w:type="dxa"/>
            <w:tcBorders>
              <w:top w:val="nil"/>
              <w:left w:val="nil"/>
              <w:bottom w:val="single" w:sz="4" w:space="0" w:color="auto"/>
              <w:right w:val="single" w:sz="4" w:space="0" w:color="auto"/>
            </w:tcBorders>
            <w:shd w:val="clear" w:color="auto" w:fill="auto"/>
            <w:noWrap/>
            <w:vAlign w:val="center"/>
            <w:hideMark/>
          </w:tcPr>
          <w:p w14:paraId="77437F9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7384019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2A3E611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r>
      <w:tr w:rsidR="009C0A77" w:rsidRPr="009C0A77" w14:paraId="32D86C92" w14:textId="77777777" w:rsidTr="009F64EC">
        <w:trPr>
          <w:trHeight w:val="227"/>
        </w:trPr>
        <w:tc>
          <w:tcPr>
            <w:tcW w:w="2547" w:type="dxa"/>
            <w:tcBorders>
              <w:top w:val="nil"/>
              <w:left w:val="nil"/>
              <w:bottom w:val="nil"/>
              <w:right w:val="nil"/>
            </w:tcBorders>
            <w:shd w:val="clear" w:color="auto" w:fill="auto"/>
            <w:noWrap/>
            <w:vAlign w:val="center"/>
          </w:tcPr>
          <w:p w14:paraId="14E4CCFB" w14:textId="77777777" w:rsidR="009C0A77" w:rsidRPr="009C0A77" w:rsidRDefault="009C0A77" w:rsidP="009C0A77">
            <w:pPr>
              <w:spacing w:after="0" w:line="240" w:lineRule="auto"/>
              <w:rPr>
                <w:rFonts w:ascii="Times New Roman" w:eastAsia="Times New Roman" w:hAnsi="Times New Roman" w:cs="Times New Roman"/>
                <w:color w:val="000000"/>
                <w:sz w:val="14"/>
                <w:szCs w:val="14"/>
                <w:lang w:val="fr-FR" w:eastAsia="ja-JP"/>
              </w:rPr>
            </w:pPr>
          </w:p>
        </w:tc>
        <w:tc>
          <w:tcPr>
            <w:tcW w:w="160" w:type="dxa"/>
            <w:tcBorders>
              <w:top w:val="nil"/>
              <w:left w:val="nil"/>
              <w:bottom w:val="nil"/>
              <w:right w:val="nil"/>
            </w:tcBorders>
            <w:shd w:val="clear" w:color="auto" w:fill="auto"/>
            <w:noWrap/>
            <w:vAlign w:val="center"/>
          </w:tcPr>
          <w:p w14:paraId="28987FD8"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2412" w:type="dxa"/>
            <w:gridSpan w:val="2"/>
            <w:tcBorders>
              <w:top w:val="nil"/>
              <w:left w:val="nil"/>
              <w:bottom w:val="nil"/>
              <w:right w:val="nil"/>
            </w:tcBorders>
            <w:shd w:val="clear" w:color="auto" w:fill="auto"/>
            <w:noWrap/>
            <w:vAlign w:val="center"/>
          </w:tcPr>
          <w:p w14:paraId="7D6D3FF5"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359" w:type="dxa"/>
            <w:gridSpan w:val="2"/>
            <w:tcBorders>
              <w:top w:val="nil"/>
              <w:left w:val="nil"/>
              <w:bottom w:val="nil"/>
              <w:right w:val="nil"/>
            </w:tcBorders>
            <w:shd w:val="clear" w:color="auto" w:fill="auto"/>
            <w:noWrap/>
            <w:vAlign w:val="center"/>
          </w:tcPr>
          <w:p w14:paraId="633B8693"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270" w:type="dxa"/>
            <w:tcBorders>
              <w:top w:val="nil"/>
              <w:left w:val="nil"/>
              <w:bottom w:val="nil"/>
              <w:right w:val="nil"/>
            </w:tcBorders>
            <w:shd w:val="clear" w:color="auto" w:fill="auto"/>
            <w:noWrap/>
            <w:vAlign w:val="center"/>
          </w:tcPr>
          <w:p w14:paraId="7DA696E1"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270" w:type="dxa"/>
            <w:tcBorders>
              <w:top w:val="nil"/>
              <w:left w:val="nil"/>
              <w:bottom w:val="nil"/>
              <w:right w:val="nil"/>
            </w:tcBorders>
            <w:shd w:val="clear" w:color="auto" w:fill="auto"/>
            <w:noWrap/>
            <w:vAlign w:val="center"/>
          </w:tcPr>
          <w:p w14:paraId="7AF74200"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270" w:type="dxa"/>
            <w:tcBorders>
              <w:top w:val="nil"/>
              <w:left w:val="nil"/>
              <w:bottom w:val="nil"/>
              <w:right w:val="nil"/>
            </w:tcBorders>
            <w:shd w:val="clear" w:color="auto" w:fill="auto"/>
            <w:noWrap/>
            <w:vAlign w:val="center"/>
            <w:hideMark/>
          </w:tcPr>
          <w:p w14:paraId="7AABFB66"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r>
      <w:tr w:rsidR="009C0A77" w:rsidRPr="009C0A77" w14:paraId="42D4F384"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27805A3"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Class of Instrument</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517CFBCE"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Treasury - Debt Instruments - Commercial Paper and Certificate of Deposit</w:t>
            </w:r>
          </w:p>
        </w:tc>
      </w:tr>
      <w:tr w:rsidR="009C0A77" w:rsidRPr="009C0A77" w14:paraId="50766699" w14:textId="77777777" w:rsidTr="009C0A77">
        <w:trPr>
          <w:gridAfter w:val="1"/>
          <w:wAfter w:w="1270" w:type="dxa"/>
          <w:trHeight w:val="9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E8EEC16"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4C03FFB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w:t>
            </w:r>
          </w:p>
        </w:tc>
      </w:tr>
      <w:tr w:rsidR="009C0A77" w:rsidRPr="009C0A77" w14:paraId="5FFE068F"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94AE83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300" w:type="dxa"/>
            <w:gridSpan w:val="2"/>
            <w:tcBorders>
              <w:top w:val="nil"/>
              <w:left w:val="nil"/>
              <w:bottom w:val="single" w:sz="4" w:space="0" w:color="auto"/>
              <w:right w:val="single" w:sz="4" w:space="0" w:color="auto"/>
            </w:tcBorders>
            <w:shd w:val="clear" w:color="auto" w:fill="auto"/>
            <w:vAlign w:val="center"/>
            <w:hideMark/>
          </w:tcPr>
          <w:p w14:paraId="79BBE171"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volume traded as a percentage of total in that class</w:t>
            </w:r>
          </w:p>
        </w:tc>
        <w:tc>
          <w:tcPr>
            <w:tcW w:w="1535" w:type="dxa"/>
            <w:gridSpan w:val="2"/>
            <w:tcBorders>
              <w:top w:val="nil"/>
              <w:left w:val="nil"/>
              <w:bottom w:val="single" w:sz="4" w:space="0" w:color="auto"/>
              <w:right w:val="single" w:sz="4" w:space="0" w:color="auto"/>
            </w:tcBorders>
            <w:shd w:val="clear" w:color="auto" w:fill="auto"/>
            <w:vAlign w:val="center"/>
            <w:hideMark/>
          </w:tcPr>
          <w:p w14:paraId="37C4AD3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orders executed as percentage of total in that class</w:t>
            </w:r>
          </w:p>
        </w:tc>
        <w:tc>
          <w:tcPr>
            <w:tcW w:w="1096" w:type="dxa"/>
            <w:tcBorders>
              <w:top w:val="nil"/>
              <w:left w:val="nil"/>
              <w:bottom w:val="single" w:sz="4" w:space="0" w:color="auto"/>
              <w:right w:val="single" w:sz="4" w:space="0" w:color="auto"/>
            </w:tcBorders>
            <w:shd w:val="clear" w:color="auto" w:fill="auto"/>
            <w:vAlign w:val="center"/>
            <w:hideMark/>
          </w:tcPr>
          <w:p w14:paraId="0F36699B"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passive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357E297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agressive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440A7381"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w:t>
            </w:r>
            <w:proofErr w:type="spellStart"/>
            <w:r w:rsidRPr="009C0A77">
              <w:rPr>
                <w:rFonts w:ascii="Times New Roman" w:eastAsia="Times New Roman" w:hAnsi="Times New Roman" w:cs="Times New Roman"/>
                <w:color w:val="000000"/>
                <w:sz w:val="14"/>
                <w:szCs w:val="14"/>
                <w:lang w:val="fr-FR" w:eastAsia="ja-JP"/>
              </w:rPr>
              <w:t>directed</w:t>
            </w:r>
            <w:proofErr w:type="spellEnd"/>
            <w:r w:rsidRPr="009C0A77">
              <w:rPr>
                <w:rFonts w:ascii="Times New Roman" w:eastAsia="Times New Roman" w:hAnsi="Times New Roman" w:cs="Times New Roman"/>
                <w:color w:val="000000"/>
                <w:sz w:val="14"/>
                <w:szCs w:val="14"/>
                <w:lang w:val="fr-FR" w:eastAsia="ja-JP"/>
              </w:rPr>
              <w:t xml:space="preserve"> </w:t>
            </w:r>
            <w:proofErr w:type="spellStart"/>
            <w:r w:rsidRPr="009C0A77">
              <w:rPr>
                <w:rFonts w:ascii="Times New Roman" w:eastAsia="Times New Roman" w:hAnsi="Times New Roman" w:cs="Times New Roman"/>
                <w:color w:val="000000"/>
                <w:sz w:val="14"/>
                <w:szCs w:val="14"/>
                <w:lang w:val="fr-FR" w:eastAsia="ja-JP"/>
              </w:rPr>
              <w:t>orders</w:t>
            </w:r>
            <w:proofErr w:type="spellEnd"/>
          </w:p>
        </w:tc>
      </w:tr>
      <w:tr w:rsidR="009C0A77" w:rsidRPr="009C0A77" w14:paraId="30F476D6"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F4E8EF7"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CREDIT AGRICOLE CIB (1VUV7VQFKUOQSJ21A208)</w:t>
            </w:r>
          </w:p>
        </w:tc>
        <w:tc>
          <w:tcPr>
            <w:tcW w:w="1300" w:type="dxa"/>
            <w:gridSpan w:val="2"/>
            <w:tcBorders>
              <w:top w:val="nil"/>
              <w:left w:val="nil"/>
              <w:bottom w:val="single" w:sz="4" w:space="0" w:color="auto"/>
              <w:right w:val="single" w:sz="4" w:space="0" w:color="auto"/>
            </w:tcBorders>
            <w:shd w:val="clear" w:color="auto" w:fill="auto"/>
            <w:vAlign w:val="center"/>
            <w:hideMark/>
          </w:tcPr>
          <w:p w14:paraId="73CF6C9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535" w:type="dxa"/>
            <w:gridSpan w:val="2"/>
            <w:tcBorders>
              <w:top w:val="nil"/>
              <w:left w:val="nil"/>
              <w:bottom w:val="single" w:sz="4" w:space="0" w:color="auto"/>
              <w:right w:val="single" w:sz="4" w:space="0" w:color="auto"/>
            </w:tcBorders>
            <w:shd w:val="clear" w:color="auto" w:fill="auto"/>
            <w:vAlign w:val="center"/>
            <w:hideMark/>
          </w:tcPr>
          <w:p w14:paraId="778625BC"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096" w:type="dxa"/>
            <w:tcBorders>
              <w:top w:val="nil"/>
              <w:left w:val="nil"/>
              <w:bottom w:val="single" w:sz="4" w:space="0" w:color="auto"/>
              <w:right w:val="single" w:sz="4" w:space="0" w:color="auto"/>
            </w:tcBorders>
            <w:shd w:val="clear" w:color="auto" w:fill="auto"/>
            <w:noWrap/>
            <w:vAlign w:val="center"/>
            <w:hideMark/>
          </w:tcPr>
          <w:p w14:paraId="70629CB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12244A8B"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154C736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r>
      <w:tr w:rsidR="009C0A77" w:rsidRPr="009C0A77" w14:paraId="12FB8F3D" w14:textId="77777777" w:rsidTr="009C0A77">
        <w:trPr>
          <w:trHeight w:val="227"/>
        </w:trPr>
        <w:tc>
          <w:tcPr>
            <w:tcW w:w="2547" w:type="dxa"/>
            <w:tcBorders>
              <w:top w:val="nil"/>
              <w:left w:val="nil"/>
              <w:bottom w:val="nil"/>
              <w:right w:val="nil"/>
            </w:tcBorders>
            <w:shd w:val="clear" w:color="auto" w:fill="auto"/>
            <w:noWrap/>
            <w:vAlign w:val="center"/>
            <w:hideMark/>
          </w:tcPr>
          <w:p w14:paraId="2D7FB49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
        </w:tc>
        <w:tc>
          <w:tcPr>
            <w:tcW w:w="160" w:type="dxa"/>
            <w:tcBorders>
              <w:top w:val="nil"/>
              <w:left w:val="nil"/>
              <w:bottom w:val="nil"/>
              <w:right w:val="nil"/>
            </w:tcBorders>
            <w:shd w:val="clear" w:color="auto" w:fill="auto"/>
            <w:noWrap/>
            <w:vAlign w:val="center"/>
            <w:hideMark/>
          </w:tcPr>
          <w:p w14:paraId="17404F04"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2412" w:type="dxa"/>
            <w:gridSpan w:val="2"/>
            <w:tcBorders>
              <w:top w:val="nil"/>
              <w:left w:val="nil"/>
              <w:bottom w:val="nil"/>
              <w:right w:val="nil"/>
            </w:tcBorders>
            <w:shd w:val="clear" w:color="auto" w:fill="auto"/>
            <w:noWrap/>
            <w:vAlign w:val="center"/>
            <w:hideMark/>
          </w:tcPr>
          <w:p w14:paraId="1924027B"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359" w:type="dxa"/>
            <w:gridSpan w:val="2"/>
            <w:tcBorders>
              <w:top w:val="nil"/>
              <w:left w:val="nil"/>
              <w:bottom w:val="nil"/>
              <w:right w:val="nil"/>
            </w:tcBorders>
            <w:shd w:val="clear" w:color="auto" w:fill="auto"/>
            <w:noWrap/>
            <w:vAlign w:val="center"/>
            <w:hideMark/>
          </w:tcPr>
          <w:p w14:paraId="157FDABD"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270" w:type="dxa"/>
            <w:tcBorders>
              <w:top w:val="nil"/>
              <w:left w:val="nil"/>
              <w:bottom w:val="nil"/>
              <w:right w:val="nil"/>
            </w:tcBorders>
            <w:shd w:val="clear" w:color="auto" w:fill="auto"/>
            <w:noWrap/>
            <w:vAlign w:val="center"/>
            <w:hideMark/>
          </w:tcPr>
          <w:p w14:paraId="64F74506"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270" w:type="dxa"/>
            <w:tcBorders>
              <w:top w:val="nil"/>
              <w:left w:val="nil"/>
              <w:bottom w:val="nil"/>
              <w:right w:val="nil"/>
            </w:tcBorders>
            <w:shd w:val="clear" w:color="auto" w:fill="auto"/>
            <w:noWrap/>
            <w:vAlign w:val="center"/>
            <w:hideMark/>
          </w:tcPr>
          <w:p w14:paraId="7D1FD224"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270" w:type="dxa"/>
            <w:tcBorders>
              <w:top w:val="nil"/>
              <w:left w:val="nil"/>
              <w:bottom w:val="nil"/>
              <w:right w:val="nil"/>
            </w:tcBorders>
            <w:shd w:val="clear" w:color="auto" w:fill="auto"/>
            <w:noWrap/>
            <w:vAlign w:val="center"/>
            <w:hideMark/>
          </w:tcPr>
          <w:p w14:paraId="48CD9C8C"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r>
      <w:tr w:rsidR="009C0A77" w:rsidRPr="009C0A77" w14:paraId="29005E6F" w14:textId="77777777" w:rsidTr="009C0A77">
        <w:trPr>
          <w:gridAfter w:val="1"/>
          <w:wAfter w:w="1270" w:type="dxa"/>
          <w:trHeight w:val="300"/>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57B2CB9C"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Class of Instrument</w:t>
            </w:r>
          </w:p>
        </w:tc>
        <w:tc>
          <w:tcPr>
            <w:tcW w:w="6471" w:type="dxa"/>
            <w:gridSpan w:val="7"/>
            <w:tcBorders>
              <w:top w:val="single" w:sz="4" w:space="0" w:color="auto"/>
              <w:left w:val="nil"/>
              <w:bottom w:val="single" w:sz="4" w:space="0" w:color="auto"/>
              <w:right w:val="single" w:sz="4" w:space="0" w:color="auto"/>
            </w:tcBorders>
            <w:shd w:val="clear" w:color="000000" w:fill="FFFFFF"/>
            <w:vAlign w:val="center"/>
            <w:hideMark/>
          </w:tcPr>
          <w:p w14:paraId="0139FF36"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Securities lending and borrowings (with bonds underlying)</w:t>
            </w:r>
          </w:p>
        </w:tc>
      </w:tr>
      <w:tr w:rsidR="009C0A77" w:rsidRPr="009C0A77" w14:paraId="2765E3D7" w14:textId="77777777" w:rsidTr="009C0A77">
        <w:trPr>
          <w:gridAfter w:val="1"/>
          <w:wAfter w:w="1270" w:type="dxa"/>
          <w:trHeight w:val="300"/>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0E339B6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471" w:type="dxa"/>
            <w:gridSpan w:val="7"/>
            <w:tcBorders>
              <w:top w:val="single" w:sz="4" w:space="0" w:color="auto"/>
              <w:left w:val="nil"/>
              <w:bottom w:val="single" w:sz="4" w:space="0" w:color="auto"/>
              <w:right w:val="single" w:sz="4" w:space="0" w:color="auto"/>
            </w:tcBorders>
            <w:shd w:val="clear" w:color="000000" w:fill="FFFFFF"/>
            <w:vAlign w:val="center"/>
            <w:hideMark/>
          </w:tcPr>
          <w:p w14:paraId="6CDE4E11"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w:t>
            </w:r>
          </w:p>
        </w:tc>
      </w:tr>
      <w:tr w:rsidR="009C0A77" w:rsidRPr="009C0A77" w14:paraId="4C854E60" w14:textId="77777777" w:rsidTr="009C0A77">
        <w:trPr>
          <w:gridAfter w:val="1"/>
          <w:wAfter w:w="1270" w:type="dxa"/>
          <w:trHeight w:val="900"/>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0AE28281"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300" w:type="dxa"/>
            <w:gridSpan w:val="2"/>
            <w:tcBorders>
              <w:top w:val="nil"/>
              <w:left w:val="nil"/>
              <w:bottom w:val="single" w:sz="4" w:space="0" w:color="auto"/>
              <w:right w:val="single" w:sz="4" w:space="0" w:color="auto"/>
            </w:tcBorders>
            <w:shd w:val="clear" w:color="000000" w:fill="FFFFFF"/>
            <w:vAlign w:val="center"/>
            <w:hideMark/>
          </w:tcPr>
          <w:p w14:paraId="2EB548B6"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volume traded as a percentage of total in that class</w:t>
            </w:r>
          </w:p>
        </w:tc>
        <w:tc>
          <w:tcPr>
            <w:tcW w:w="1535" w:type="dxa"/>
            <w:gridSpan w:val="2"/>
            <w:tcBorders>
              <w:top w:val="nil"/>
              <w:left w:val="nil"/>
              <w:bottom w:val="single" w:sz="4" w:space="0" w:color="auto"/>
              <w:right w:val="single" w:sz="4" w:space="0" w:color="auto"/>
            </w:tcBorders>
            <w:shd w:val="clear" w:color="000000" w:fill="FFFFFF"/>
            <w:vAlign w:val="center"/>
            <w:hideMark/>
          </w:tcPr>
          <w:p w14:paraId="7BB32A4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orders executed as percentage of total in that class</w:t>
            </w:r>
          </w:p>
        </w:tc>
        <w:tc>
          <w:tcPr>
            <w:tcW w:w="1096" w:type="dxa"/>
            <w:tcBorders>
              <w:top w:val="nil"/>
              <w:left w:val="nil"/>
              <w:bottom w:val="single" w:sz="4" w:space="0" w:color="auto"/>
              <w:right w:val="single" w:sz="4" w:space="0" w:color="auto"/>
            </w:tcBorders>
            <w:shd w:val="clear" w:color="000000" w:fill="FFFFFF"/>
            <w:vAlign w:val="center"/>
            <w:hideMark/>
          </w:tcPr>
          <w:p w14:paraId="236A06E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passive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000000" w:fill="FFFFFF"/>
            <w:vAlign w:val="center"/>
            <w:hideMark/>
          </w:tcPr>
          <w:p w14:paraId="359720A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agressive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000000" w:fill="FFFFFF"/>
            <w:vAlign w:val="center"/>
            <w:hideMark/>
          </w:tcPr>
          <w:p w14:paraId="01CDBAD6"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w:t>
            </w:r>
            <w:proofErr w:type="spellStart"/>
            <w:r w:rsidRPr="009C0A77">
              <w:rPr>
                <w:rFonts w:ascii="Times New Roman" w:eastAsia="Times New Roman" w:hAnsi="Times New Roman" w:cs="Times New Roman"/>
                <w:color w:val="000000"/>
                <w:sz w:val="14"/>
                <w:szCs w:val="14"/>
                <w:lang w:val="fr-FR" w:eastAsia="ja-JP"/>
              </w:rPr>
              <w:t>directed</w:t>
            </w:r>
            <w:proofErr w:type="spellEnd"/>
            <w:r w:rsidRPr="009C0A77">
              <w:rPr>
                <w:rFonts w:ascii="Times New Roman" w:eastAsia="Times New Roman" w:hAnsi="Times New Roman" w:cs="Times New Roman"/>
                <w:color w:val="000000"/>
                <w:sz w:val="14"/>
                <w:szCs w:val="14"/>
                <w:lang w:val="fr-FR" w:eastAsia="ja-JP"/>
              </w:rPr>
              <w:t xml:space="preserve"> </w:t>
            </w:r>
            <w:proofErr w:type="spellStart"/>
            <w:r w:rsidRPr="009C0A77">
              <w:rPr>
                <w:rFonts w:ascii="Times New Roman" w:eastAsia="Times New Roman" w:hAnsi="Times New Roman" w:cs="Times New Roman"/>
                <w:color w:val="000000"/>
                <w:sz w:val="14"/>
                <w:szCs w:val="14"/>
                <w:lang w:val="fr-FR" w:eastAsia="ja-JP"/>
              </w:rPr>
              <w:t>orders</w:t>
            </w:r>
            <w:proofErr w:type="spellEnd"/>
          </w:p>
        </w:tc>
      </w:tr>
      <w:tr w:rsidR="009C0A77" w:rsidRPr="009C0A77" w14:paraId="17A59CA7" w14:textId="77777777" w:rsidTr="009C0A77">
        <w:trPr>
          <w:gridAfter w:val="1"/>
          <w:wAfter w:w="1270" w:type="dxa"/>
          <w:trHeight w:val="315"/>
        </w:trPr>
        <w:tc>
          <w:tcPr>
            <w:tcW w:w="2547" w:type="dxa"/>
            <w:tcBorders>
              <w:top w:val="single" w:sz="4" w:space="0" w:color="auto"/>
              <w:left w:val="single" w:sz="4" w:space="0" w:color="auto"/>
              <w:bottom w:val="nil"/>
              <w:right w:val="single" w:sz="4" w:space="0" w:color="000000"/>
            </w:tcBorders>
            <w:shd w:val="clear" w:color="000000" w:fill="FFFFFF"/>
            <w:vAlign w:val="center"/>
            <w:hideMark/>
          </w:tcPr>
          <w:p w14:paraId="311CA04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lastRenderedPageBreak/>
              <w:t>CREDIT AGRICOLE CIB (1VUV7VQFKUOQSJ21A208)</w:t>
            </w:r>
          </w:p>
        </w:tc>
        <w:tc>
          <w:tcPr>
            <w:tcW w:w="1300" w:type="dxa"/>
            <w:gridSpan w:val="2"/>
            <w:tcBorders>
              <w:top w:val="nil"/>
              <w:left w:val="nil"/>
              <w:bottom w:val="nil"/>
              <w:right w:val="single" w:sz="4" w:space="0" w:color="auto"/>
            </w:tcBorders>
            <w:shd w:val="clear" w:color="000000" w:fill="FFFFFF"/>
            <w:vAlign w:val="center"/>
            <w:hideMark/>
          </w:tcPr>
          <w:p w14:paraId="323DA7C0"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535" w:type="dxa"/>
            <w:gridSpan w:val="2"/>
            <w:tcBorders>
              <w:top w:val="nil"/>
              <w:left w:val="nil"/>
              <w:bottom w:val="nil"/>
              <w:right w:val="single" w:sz="4" w:space="0" w:color="auto"/>
            </w:tcBorders>
            <w:shd w:val="clear" w:color="000000" w:fill="FFFFFF"/>
            <w:vAlign w:val="center"/>
            <w:hideMark/>
          </w:tcPr>
          <w:p w14:paraId="02593012"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096" w:type="dxa"/>
            <w:tcBorders>
              <w:top w:val="nil"/>
              <w:left w:val="nil"/>
              <w:bottom w:val="nil"/>
              <w:right w:val="single" w:sz="4" w:space="0" w:color="auto"/>
            </w:tcBorders>
            <w:shd w:val="clear" w:color="000000" w:fill="FFFFFF"/>
            <w:noWrap/>
            <w:vAlign w:val="center"/>
            <w:hideMark/>
          </w:tcPr>
          <w:p w14:paraId="3295C24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nil"/>
              <w:right w:val="single" w:sz="4" w:space="0" w:color="auto"/>
            </w:tcBorders>
            <w:shd w:val="clear" w:color="000000" w:fill="FFFFFF"/>
            <w:noWrap/>
            <w:vAlign w:val="center"/>
            <w:hideMark/>
          </w:tcPr>
          <w:p w14:paraId="364C2B2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nil"/>
              <w:right w:val="single" w:sz="4" w:space="0" w:color="auto"/>
            </w:tcBorders>
            <w:shd w:val="clear" w:color="000000" w:fill="FFFFFF"/>
            <w:noWrap/>
            <w:vAlign w:val="center"/>
            <w:hideMark/>
          </w:tcPr>
          <w:p w14:paraId="231FD7C6"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r>
      <w:tr w:rsidR="009C0A77" w:rsidRPr="009C0A77" w14:paraId="3AFD0C4C" w14:textId="77777777" w:rsidTr="009C0A77">
        <w:trPr>
          <w:gridAfter w:val="1"/>
          <w:wAfter w:w="1270" w:type="dxa"/>
          <w:trHeight w:val="300"/>
        </w:trPr>
        <w:tc>
          <w:tcPr>
            <w:tcW w:w="2547" w:type="dxa"/>
            <w:tcBorders>
              <w:top w:val="single" w:sz="8" w:space="0" w:color="auto"/>
              <w:left w:val="single" w:sz="4" w:space="0" w:color="auto"/>
              <w:bottom w:val="single" w:sz="4" w:space="0" w:color="auto"/>
              <w:right w:val="single" w:sz="4" w:space="0" w:color="auto"/>
            </w:tcBorders>
            <w:shd w:val="clear" w:color="000000" w:fill="FFFFFF"/>
            <w:vAlign w:val="center"/>
            <w:hideMark/>
          </w:tcPr>
          <w:p w14:paraId="47775E5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Class of Instrument</w:t>
            </w:r>
          </w:p>
        </w:tc>
        <w:tc>
          <w:tcPr>
            <w:tcW w:w="6471" w:type="dxa"/>
            <w:gridSpan w:val="7"/>
            <w:tcBorders>
              <w:top w:val="single" w:sz="8" w:space="0" w:color="auto"/>
              <w:left w:val="nil"/>
              <w:bottom w:val="single" w:sz="4" w:space="0" w:color="auto"/>
              <w:right w:val="single" w:sz="4" w:space="0" w:color="auto"/>
            </w:tcBorders>
            <w:shd w:val="clear" w:color="000000" w:fill="FFFFFF"/>
            <w:vAlign w:val="center"/>
            <w:hideMark/>
          </w:tcPr>
          <w:p w14:paraId="496B7890"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Securities lending and borrowings (with equity underlying)</w:t>
            </w:r>
          </w:p>
        </w:tc>
      </w:tr>
      <w:tr w:rsidR="009C0A77" w:rsidRPr="009C0A77" w14:paraId="1E8382FE" w14:textId="77777777" w:rsidTr="009C0A77">
        <w:trPr>
          <w:gridAfter w:val="1"/>
          <w:wAfter w:w="1270" w:type="dxa"/>
          <w:trHeight w:val="300"/>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18CD8D3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471" w:type="dxa"/>
            <w:gridSpan w:val="7"/>
            <w:tcBorders>
              <w:top w:val="single" w:sz="4" w:space="0" w:color="auto"/>
              <w:left w:val="nil"/>
              <w:bottom w:val="single" w:sz="4" w:space="0" w:color="auto"/>
              <w:right w:val="single" w:sz="4" w:space="0" w:color="auto"/>
            </w:tcBorders>
            <w:shd w:val="clear" w:color="000000" w:fill="FFFFFF"/>
            <w:vAlign w:val="center"/>
            <w:hideMark/>
          </w:tcPr>
          <w:p w14:paraId="20B0178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w:t>
            </w:r>
          </w:p>
        </w:tc>
      </w:tr>
      <w:tr w:rsidR="009C0A77" w:rsidRPr="009C0A77" w14:paraId="51DC5856" w14:textId="77777777" w:rsidTr="009C0A77">
        <w:trPr>
          <w:gridAfter w:val="1"/>
          <w:wAfter w:w="1270" w:type="dxa"/>
          <w:trHeight w:val="900"/>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364501CC"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300" w:type="dxa"/>
            <w:gridSpan w:val="2"/>
            <w:tcBorders>
              <w:top w:val="nil"/>
              <w:left w:val="nil"/>
              <w:bottom w:val="single" w:sz="4" w:space="0" w:color="auto"/>
              <w:right w:val="single" w:sz="4" w:space="0" w:color="auto"/>
            </w:tcBorders>
            <w:shd w:val="clear" w:color="000000" w:fill="FFFFFF"/>
            <w:vAlign w:val="center"/>
            <w:hideMark/>
          </w:tcPr>
          <w:p w14:paraId="1062B971"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volume traded as a percentage of total in that class</w:t>
            </w:r>
          </w:p>
        </w:tc>
        <w:tc>
          <w:tcPr>
            <w:tcW w:w="1535" w:type="dxa"/>
            <w:gridSpan w:val="2"/>
            <w:tcBorders>
              <w:top w:val="nil"/>
              <w:left w:val="nil"/>
              <w:bottom w:val="single" w:sz="4" w:space="0" w:color="auto"/>
              <w:right w:val="single" w:sz="4" w:space="0" w:color="auto"/>
            </w:tcBorders>
            <w:shd w:val="clear" w:color="000000" w:fill="FFFFFF"/>
            <w:vAlign w:val="center"/>
            <w:hideMark/>
          </w:tcPr>
          <w:p w14:paraId="3670DEB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orders executed as percentage of total in that class</w:t>
            </w:r>
          </w:p>
        </w:tc>
        <w:tc>
          <w:tcPr>
            <w:tcW w:w="1096" w:type="dxa"/>
            <w:tcBorders>
              <w:top w:val="nil"/>
              <w:left w:val="nil"/>
              <w:bottom w:val="single" w:sz="4" w:space="0" w:color="auto"/>
              <w:right w:val="single" w:sz="4" w:space="0" w:color="auto"/>
            </w:tcBorders>
            <w:shd w:val="clear" w:color="000000" w:fill="FFFFFF"/>
            <w:vAlign w:val="center"/>
            <w:hideMark/>
          </w:tcPr>
          <w:p w14:paraId="231D1B4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passive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000000" w:fill="FFFFFF"/>
            <w:vAlign w:val="center"/>
            <w:hideMark/>
          </w:tcPr>
          <w:p w14:paraId="2EAD2660"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agressive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000000" w:fill="FFFFFF"/>
            <w:vAlign w:val="center"/>
            <w:hideMark/>
          </w:tcPr>
          <w:p w14:paraId="43A5FCB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w:t>
            </w:r>
            <w:proofErr w:type="spellStart"/>
            <w:r w:rsidRPr="009C0A77">
              <w:rPr>
                <w:rFonts w:ascii="Times New Roman" w:eastAsia="Times New Roman" w:hAnsi="Times New Roman" w:cs="Times New Roman"/>
                <w:color w:val="000000"/>
                <w:sz w:val="14"/>
                <w:szCs w:val="14"/>
                <w:lang w:val="fr-FR" w:eastAsia="ja-JP"/>
              </w:rPr>
              <w:t>directed</w:t>
            </w:r>
            <w:proofErr w:type="spellEnd"/>
            <w:r w:rsidRPr="009C0A77">
              <w:rPr>
                <w:rFonts w:ascii="Times New Roman" w:eastAsia="Times New Roman" w:hAnsi="Times New Roman" w:cs="Times New Roman"/>
                <w:color w:val="000000"/>
                <w:sz w:val="14"/>
                <w:szCs w:val="14"/>
                <w:lang w:val="fr-FR" w:eastAsia="ja-JP"/>
              </w:rPr>
              <w:t xml:space="preserve"> </w:t>
            </w:r>
            <w:proofErr w:type="spellStart"/>
            <w:r w:rsidRPr="009C0A77">
              <w:rPr>
                <w:rFonts w:ascii="Times New Roman" w:eastAsia="Times New Roman" w:hAnsi="Times New Roman" w:cs="Times New Roman"/>
                <w:color w:val="000000"/>
                <w:sz w:val="14"/>
                <w:szCs w:val="14"/>
                <w:lang w:val="fr-FR" w:eastAsia="ja-JP"/>
              </w:rPr>
              <w:t>orders</w:t>
            </w:r>
            <w:proofErr w:type="spellEnd"/>
          </w:p>
        </w:tc>
      </w:tr>
      <w:tr w:rsidR="009C0A77" w:rsidRPr="009C0A77" w14:paraId="29450D52" w14:textId="77777777" w:rsidTr="009C0A77">
        <w:trPr>
          <w:gridAfter w:val="1"/>
          <w:wAfter w:w="1270" w:type="dxa"/>
          <w:trHeight w:val="300"/>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0D35B802"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CREDIT AGRICOLE CIB (1VUV7VQFKUOQSJ21A208)</w:t>
            </w:r>
          </w:p>
        </w:tc>
        <w:tc>
          <w:tcPr>
            <w:tcW w:w="1300" w:type="dxa"/>
            <w:gridSpan w:val="2"/>
            <w:tcBorders>
              <w:top w:val="nil"/>
              <w:left w:val="nil"/>
              <w:bottom w:val="single" w:sz="4" w:space="0" w:color="auto"/>
              <w:right w:val="single" w:sz="4" w:space="0" w:color="auto"/>
            </w:tcBorders>
            <w:shd w:val="clear" w:color="000000" w:fill="FFFFFF"/>
            <w:vAlign w:val="center"/>
            <w:hideMark/>
          </w:tcPr>
          <w:p w14:paraId="60E0D341"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535" w:type="dxa"/>
            <w:gridSpan w:val="2"/>
            <w:tcBorders>
              <w:top w:val="nil"/>
              <w:left w:val="nil"/>
              <w:bottom w:val="single" w:sz="4" w:space="0" w:color="auto"/>
              <w:right w:val="single" w:sz="4" w:space="0" w:color="auto"/>
            </w:tcBorders>
            <w:shd w:val="clear" w:color="000000" w:fill="FFFFFF"/>
            <w:vAlign w:val="center"/>
            <w:hideMark/>
          </w:tcPr>
          <w:p w14:paraId="2C155D1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096" w:type="dxa"/>
            <w:tcBorders>
              <w:top w:val="nil"/>
              <w:left w:val="nil"/>
              <w:bottom w:val="single" w:sz="4" w:space="0" w:color="auto"/>
              <w:right w:val="single" w:sz="4" w:space="0" w:color="auto"/>
            </w:tcBorders>
            <w:shd w:val="clear" w:color="000000" w:fill="FFFFFF"/>
            <w:noWrap/>
            <w:vAlign w:val="center"/>
            <w:hideMark/>
          </w:tcPr>
          <w:p w14:paraId="4AA164EB"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000000" w:fill="FFFFFF"/>
            <w:noWrap/>
            <w:vAlign w:val="center"/>
            <w:hideMark/>
          </w:tcPr>
          <w:p w14:paraId="2CA9673C"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000000" w:fill="FFFFFF"/>
            <w:noWrap/>
            <w:vAlign w:val="center"/>
            <w:hideMark/>
          </w:tcPr>
          <w:p w14:paraId="79EA36CB"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r>
    </w:tbl>
    <w:p w14:paraId="2304FFEB" w14:textId="5104F745" w:rsidR="00575B23" w:rsidRPr="00076D9E" w:rsidRDefault="00575B23" w:rsidP="00D22E22">
      <w:pPr>
        <w:pStyle w:val="Default"/>
        <w:spacing w:line="276" w:lineRule="auto"/>
        <w:jc w:val="both"/>
        <w:rPr>
          <w:rFonts w:asciiTheme="majorHAnsi" w:eastAsiaTheme="majorEastAsia" w:hAnsiTheme="majorHAnsi" w:cstheme="majorBidi"/>
          <w:b/>
          <w:bCs/>
          <w:color w:val="365F91" w:themeColor="accent1" w:themeShade="BF"/>
          <w:szCs w:val="28"/>
          <w:lang w:val="en-US" w:eastAsia="ja-JP"/>
        </w:rPr>
      </w:pPr>
    </w:p>
    <w:p w14:paraId="11DA8DC6" w14:textId="77777777" w:rsidR="00781861" w:rsidRDefault="004A7523" w:rsidP="00351522">
      <w:pPr>
        <w:pStyle w:val="Default"/>
        <w:spacing w:line="276" w:lineRule="auto"/>
        <w:jc w:val="both"/>
        <w:rPr>
          <w:rFonts w:asciiTheme="majorHAnsi" w:eastAsiaTheme="majorEastAsia" w:hAnsiTheme="majorHAnsi" w:cstheme="majorBidi"/>
          <w:b/>
          <w:bCs/>
          <w:color w:val="365F91" w:themeColor="accent1" w:themeShade="BF"/>
          <w:szCs w:val="28"/>
          <w:lang w:val="en-US" w:eastAsia="ja-JP"/>
        </w:rPr>
      </w:pPr>
      <w:r w:rsidRPr="00076D9E">
        <w:rPr>
          <w:rFonts w:asciiTheme="majorHAnsi" w:eastAsiaTheme="majorEastAsia" w:hAnsiTheme="majorHAnsi" w:cstheme="majorBidi"/>
          <w:b/>
          <w:bCs/>
          <w:color w:val="365F91" w:themeColor="accent1" w:themeShade="BF"/>
          <w:szCs w:val="28"/>
          <w:lang w:val="en-US" w:eastAsia="ja-JP"/>
        </w:rPr>
        <w:t xml:space="preserve">Top five execution venues in terms of trading volumes for </w:t>
      </w:r>
      <w:r w:rsidR="007D0329" w:rsidRPr="00076D9E">
        <w:rPr>
          <w:rFonts w:asciiTheme="majorHAnsi" w:eastAsiaTheme="majorEastAsia" w:hAnsiTheme="majorHAnsi" w:cstheme="majorBidi"/>
          <w:b/>
          <w:bCs/>
          <w:color w:val="365F91" w:themeColor="accent1" w:themeShade="BF"/>
          <w:szCs w:val="28"/>
          <w:lang w:val="en-US" w:eastAsia="ja-JP"/>
        </w:rPr>
        <w:t xml:space="preserve">executed </w:t>
      </w:r>
      <w:r w:rsidRPr="00076D9E">
        <w:rPr>
          <w:rFonts w:asciiTheme="majorHAnsi" w:eastAsiaTheme="majorEastAsia" w:hAnsiTheme="majorHAnsi" w:cstheme="majorBidi"/>
          <w:b/>
          <w:bCs/>
          <w:color w:val="365F91" w:themeColor="accent1" w:themeShade="BF"/>
          <w:szCs w:val="28"/>
          <w:lang w:val="en-US" w:eastAsia="ja-JP"/>
        </w:rPr>
        <w:t xml:space="preserve">Professional </w:t>
      </w:r>
      <w:r w:rsidR="007D0329" w:rsidRPr="00076D9E">
        <w:rPr>
          <w:rFonts w:asciiTheme="majorHAnsi" w:eastAsiaTheme="majorEastAsia" w:hAnsiTheme="majorHAnsi" w:cstheme="majorBidi"/>
          <w:b/>
          <w:bCs/>
          <w:color w:val="365F91" w:themeColor="accent1" w:themeShade="BF"/>
          <w:szCs w:val="28"/>
          <w:lang w:val="en-US" w:eastAsia="ja-JP"/>
        </w:rPr>
        <w:t>Client</w:t>
      </w:r>
      <w:r w:rsidRPr="00076D9E">
        <w:rPr>
          <w:rFonts w:asciiTheme="majorHAnsi" w:eastAsiaTheme="majorEastAsia" w:hAnsiTheme="majorHAnsi" w:cstheme="majorBidi"/>
          <w:b/>
          <w:bCs/>
          <w:color w:val="365F91" w:themeColor="accent1" w:themeShade="BF"/>
          <w:szCs w:val="28"/>
          <w:lang w:val="en-US" w:eastAsia="ja-JP"/>
        </w:rPr>
        <w:t xml:space="preserve"> orders (art. 3.1 of EU 2017/576)</w:t>
      </w:r>
    </w:p>
    <w:p w14:paraId="087DAFA3" w14:textId="77777777" w:rsidR="00781861" w:rsidRDefault="00781861" w:rsidP="00351522">
      <w:pPr>
        <w:pStyle w:val="Default"/>
        <w:spacing w:line="276" w:lineRule="auto"/>
        <w:jc w:val="both"/>
        <w:rPr>
          <w:rFonts w:asciiTheme="majorHAnsi" w:eastAsiaTheme="majorEastAsia" w:hAnsiTheme="majorHAnsi" w:cstheme="majorBidi"/>
          <w:b/>
          <w:bCs/>
          <w:color w:val="365F91" w:themeColor="accent1" w:themeShade="BF"/>
          <w:szCs w:val="28"/>
          <w:lang w:val="en-US" w:eastAsia="ja-JP"/>
        </w:rPr>
      </w:pPr>
    </w:p>
    <w:tbl>
      <w:tblPr>
        <w:tblW w:w="9706" w:type="dxa"/>
        <w:tblLayout w:type="fixed"/>
        <w:tblCellMar>
          <w:left w:w="70" w:type="dxa"/>
          <w:right w:w="70" w:type="dxa"/>
        </w:tblCellMar>
        <w:tblLook w:val="04A0" w:firstRow="1" w:lastRow="0" w:firstColumn="1" w:lastColumn="0" w:noHBand="0" w:noVBand="1"/>
      </w:tblPr>
      <w:tblGrid>
        <w:gridCol w:w="2547"/>
        <w:gridCol w:w="1276"/>
        <w:gridCol w:w="1417"/>
        <w:gridCol w:w="160"/>
        <w:gridCol w:w="1116"/>
        <w:gridCol w:w="256"/>
        <w:gridCol w:w="160"/>
        <w:gridCol w:w="860"/>
        <w:gridCol w:w="639"/>
        <w:gridCol w:w="636"/>
        <w:gridCol w:w="639"/>
      </w:tblGrid>
      <w:tr w:rsidR="0091394E" w:rsidRPr="00C172A2" w14:paraId="163326AD" w14:textId="77777777" w:rsidTr="0091394E">
        <w:trPr>
          <w:gridAfter w:val="1"/>
          <w:wAfter w:w="639" w:type="dxa"/>
          <w:trHeight w:val="155"/>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87CECD6"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Class of Instrument</w:t>
            </w:r>
          </w:p>
        </w:tc>
        <w:tc>
          <w:tcPr>
            <w:tcW w:w="6520" w:type="dxa"/>
            <w:gridSpan w:val="9"/>
            <w:tcBorders>
              <w:top w:val="single" w:sz="4" w:space="0" w:color="auto"/>
              <w:left w:val="nil"/>
              <w:bottom w:val="single" w:sz="4" w:space="0" w:color="auto"/>
              <w:right w:val="single" w:sz="4" w:space="0" w:color="auto"/>
            </w:tcBorders>
            <w:shd w:val="clear" w:color="auto" w:fill="auto"/>
            <w:vAlign w:val="center"/>
            <w:hideMark/>
          </w:tcPr>
          <w:p w14:paraId="3B9675D4"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Interest Rate derivatives / Swaps, Forwards, and other Interest Rates Derivatives</w:t>
            </w:r>
          </w:p>
        </w:tc>
      </w:tr>
      <w:tr w:rsidR="0091394E" w:rsidRPr="00C172A2" w14:paraId="67B17554"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35F7A76"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520" w:type="dxa"/>
            <w:gridSpan w:val="9"/>
            <w:tcBorders>
              <w:top w:val="single" w:sz="4" w:space="0" w:color="auto"/>
              <w:left w:val="nil"/>
              <w:bottom w:val="single" w:sz="4" w:space="0" w:color="auto"/>
              <w:right w:val="single" w:sz="4" w:space="0" w:color="auto"/>
            </w:tcBorders>
            <w:shd w:val="clear" w:color="auto" w:fill="auto"/>
            <w:vAlign w:val="center"/>
            <w:hideMark/>
          </w:tcPr>
          <w:p w14:paraId="40E9E2E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w:t>
            </w:r>
          </w:p>
        </w:tc>
      </w:tr>
      <w:tr w:rsidR="006A0280" w:rsidRPr="00C172A2" w14:paraId="6520E038"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DEEFC12"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276" w:type="dxa"/>
            <w:tcBorders>
              <w:top w:val="nil"/>
              <w:left w:val="nil"/>
              <w:bottom w:val="single" w:sz="4" w:space="0" w:color="auto"/>
              <w:right w:val="single" w:sz="4" w:space="0" w:color="auto"/>
            </w:tcBorders>
            <w:shd w:val="clear" w:color="auto" w:fill="auto"/>
            <w:vAlign w:val="center"/>
            <w:hideMark/>
          </w:tcPr>
          <w:p w14:paraId="74490F3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volume traded as a percentage of total in that class</w:t>
            </w:r>
          </w:p>
        </w:tc>
        <w:tc>
          <w:tcPr>
            <w:tcW w:w="1417" w:type="dxa"/>
            <w:tcBorders>
              <w:top w:val="nil"/>
              <w:left w:val="nil"/>
              <w:bottom w:val="single" w:sz="4" w:space="0" w:color="auto"/>
              <w:right w:val="single" w:sz="4" w:space="0" w:color="auto"/>
            </w:tcBorders>
            <w:shd w:val="clear" w:color="auto" w:fill="auto"/>
            <w:vAlign w:val="center"/>
            <w:hideMark/>
          </w:tcPr>
          <w:p w14:paraId="31DA62B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orders executed as percentage of total in that class</w:t>
            </w:r>
          </w:p>
        </w:tc>
        <w:tc>
          <w:tcPr>
            <w:tcW w:w="1276" w:type="dxa"/>
            <w:gridSpan w:val="2"/>
            <w:tcBorders>
              <w:top w:val="nil"/>
              <w:left w:val="nil"/>
              <w:bottom w:val="single" w:sz="4" w:space="0" w:color="auto"/>
              <w:right w:val="single" w:sz="4" w:space="0" w:color="auto"/>
            </w:tcBorders>
            <w:shd w:val="clear" w:color="auto" w:fill="auto"/>
            <w:vAlign w:val="center"/>
            <w:hideMark/>
          </w:tcPr>
          <w:p w14:paraId="2208D76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passive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6" w:type="dxa"/>
            <w:gridSpan w:val="3"/>
            <w:tcBorders>
              <w:top w:val="nil"/>
              <w:left w:val="nil"/>
              <w:bottom w:val="single" w:sz="4" w:space="0" w:color="auto"/>
              <w:right w:val="single" w:sz="4" w:space="0" w:color="auto"/>
            </w:tcBorders>
            <w:shd w:val="clear" w:color="auto" w:fill="auto"/>
            <w:vAlign w:val="center"/>
            <w:hideMark/>
          </w:tcPr>
          <w:p w14:paraId="483B44C2"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agressive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5" w:type="dxa"/>
            <w:gridSpan w:val="2"/>
            <w:tcBorders>
              <w:top w:val="nil"/>
              <w:left w:val="nil"/>
              <w:bottom w:val="single" w:sz="4" w:space="0" w:color="auto"/>
              <w:right w:val="single" w:sz="4" w:space="0" w:color="auto"/>
            </w:tcBorders>
            <w:shd w:val="clear" w:color="auto" w:fill="auto"/>
            <w:vAlign w:val="center"/>
            <w:hideMark/>
          </w:tcPr>
          <w:p w14:paraId="24C999E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w:t>
            </w:r>
            <w:proofErr w:type="spellStart"/>
            <w:r w:rsidRPr="00C172A2">
              <w:rPr>
                <w:rFonts w:ascii="Times New Roman" w:eastAsia="Times New Roman" w:hAnsi="Times New Roman" w:cs="Times New Roman"/>
                <w:color w:val="000000"/>
                <w:sz w:val="14"/>
                <w:szCs w:val="14"/>
                <w:lang w:val="fr-FR" w:eastAsia="ja-JP"/>
              </w:rPr>
              <w:t>directed</w:t>
            </w:r>
            <w:proofErr w:type="spellEnd"/>
            <w:r w:rsidRPr="00C172A2">
              <w:rPr>
                <w:rFonts w:ascii="Times New Roman" w:eastAsia="Times New Roman" w:hAnsi="Times New Roman" w:cs="Times New Roman"/>
                <w:color w:val="000000"/>
                <w:sz w:val="14"/>
                <w:szCs w:val="14"/>
                <w:lang w:val="fr-FR" w:eastAsia="ja-JP"/>
              </w:rPr>
              <w:t xml:space="preserve"> </w:t>
            </w:r>
            <w:proofErr w:type="spellStart"/>
            <w:r w:rsidRPr="00C172A2">
              <w:rPr>
                <w:rFonts w:ascii="Times New Roman" w:eastAsia="Times New Roman" w:hAnsi="Times New Roman" w:cs="Times New Roman"/>
                <w:color w:val="000000"/>
                <w:sz w:val="14"/>
                <w:szCs w:val="14"/>
                <w:lang w:val="fr-FR" w:eastAsia="ja-JP"/>
              </w:rPr>
              <w:t>orders</w:t>
            </w:r>
            <w:proofErr w:type="spellEnd"/>
          </w:p>
        </w:tc>
      </w:tr>
      <w:tr w:rsidR="006A0280" w:rsidRPr="00C172A2" w14:paraId="0C10BCC2"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946A6E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CREDIT AGRICOLE CIB (1VUV7VQFKUOQSJ21A208)</w:t>
            </w:r>
          </w:p>
        </w:tc>
        <w:tc>
          <w:tcPr>
            <w:tcW w:w="1276" w:type="dxa"/>
            <w:tcBorders>
              <w:top w:val="nil"/>
              <w:left w:val="nil"/>
              <w:bottom w:val="single" w:sz="4" w:space="0" w:color="auto"/>
              <w:right w:val="single" w:sz="4" w:space="0" w:color="auto"/>
            </w:tcBorders>
            <w:shd w:val="clear" w:color="auto" w:fill="auto"/>
            <w:vAlign w:val="center"/>
            <w:hideMark/>
          </w:tcPr>
          <w:p w14:paraId="667CB3BE"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417" w:type="dxa"/>
            <w:tcBorders>
              <w:top w:val="nil"/>
              <w:left w:val="nil"/>
              <w:bottom w:val="single" w:sz="4" w:space="0" w:color="auto"/>
              <w:right w:val="single" w:sz="4" w:space="0" w:color="auto"/>
            </w:tcBorders>
            <w:shd w:val="clear" w:color="auto" w:fill="auto"/>
            <w:vAlign w:val="center"/>
            <w:hideMark/>
          </w:tcPr>
          <w:p w14:paraId="59086E18"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3374620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6" w:type="dxa"/>
            <w:gridSpan w:val="3"/>
            <w:tcBorders>
              <w:top w:val="nil"/>
              <w:left w:val="nil"/>
              <w:bottom w:val="single" w:sz="4" w:space="0" w:color="auto"/>
              <w:right w:val="single" w:sz="4" w:space="0" w:color="auto"/>
            </w:tcBorders>
            <w:shd w:val="clear" w:color="auto" w:fill="auto"/>
            <w:noWrap/>
            <w:vAlign w:val="center"/>
            <w:hideMark/>
          </w:tcPr>
          <w:p w14:paraId="12E1F2E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5" w:type="dxa"/>
            <w:gridSpan w:val="2"/>
            <w:tcBorders>
              <w:top w:val="nil"/>
              <w:left w:val="nil"/>
              <w:bottom w:val="single" w:sz="4" w:space="0" w:color="auto"/>
              <w:right w:val="single" w:sz="4" w:space="0" w:color="auto"/>
            </w:tcBorders>
            <w:shd w:val="clear" w:color="auto" w:fill="auto"/>
            <w:noWrap/>
            <w:vAlign w:val="center"/>
            <w:hideMark/>
          </w:tcPr>
          <w:p w14:paraId="012F3BAB"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r>
      <w:tr w:rsidR="006A0280" w:rsidRPr="00C172A2" w14:paraId="2433D67D" w14:textId="77777777" w:rsidTr="0091394E">
        <w:trPr>
          <w:trHeight w:val="227"/>
        </w:trPr>
        <w:tc>
          <w:tcPr>
            <w:tcW w:w="3823" w:type="dxa"/>
            <w:gridSpan w:val="2"/>
            <w:tcBorders>
              <w:top w:val="nil"/>
              <w:left w:val="nil"/>
              <w:bottom w:val="nil"/>
              <w:right w:val="nil"/>
            </w:tcBorders>
            <w:shd w:val="clear" w:color="auto" w:fill="auto"/>
            <w:noWrap/>
            <w:vAlign w:val="center"/>
            <w:hideMark/>
          </w:tcPr>
          <w:p w14:paraId="7926035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
        </w:tc>
        <w:tc>
          <w:tcPr>
            <w:tcW w:w="1417" w:type="dxa"/>
            <w:tcBorders>
              <w:top w:val="nil"/>
              <w:left w:val="nil"/>
              <w:bottom w:val="nil"/>
              <w:right w:val="nil"/>
            </w:tcBorders>
            <w:shd w:val="clear" w:color="auto" w:fill="auto"/>
            <w:noWrap/>
            <w:vAlign w:val="center"/>
            <w:hideMark/>
          </w:tcPr>
          <w:p w14:paraId="425B1408"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3B1C5D09"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372" w:type="dxa"/>
            <w:gridSpan w:val="2"/>
            <w:tcBorders>
              <w:top w:val="nil"/>
              <w:left w:val="nil"/>
              <w:bottom w:val="nil"/>
              <w:right w:val="nil"/>
            </w:tcBorders>
            <w:shd w:val="clear" w:color="auto" w:fill="auto"/>
            <w:noWrap/>
            <w:vAlign w:val="center"/>
            <w:hideMark/>
          </w:tcPr>
          <w:p w14:paraId="4A29EBD9"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4549CBE8"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499" w:type="dxa"/>
            <w:gridSpan w:val="2"/>
            <w:tcBorders>
              <w:top w:val="nil"/>
              <w:left w:val="nil"/>
              <w:bottom w:val="nil"/>
              <w:right w:val="nil"/>
            </w:tcBorders>
            <w:shd w:val="clear" w:color="auto" w:fill="auto"/>
            <w:noWrap/>
            <w:vAlign w:val="center"/>
            <w:hideMark/>
          </w:tcPr>
          <w:p w14:paraId="3B206896"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275" w:type="dxa"/>
            <w:gridSpan w:val="2"/>
            <w:tcBorders>
              <w:top w:val="nil"/>
              <w:left w:val="nil"/>
              <w:bottom w:val="nil"/>
              <w:right w:val="nil"/>
            </w:tcBorders>
            <w:shd w:val="clear" w:color="auto" w:fill="auto"/>
            <w:noWrap/>
            <w:vAlign w:val="center"/>
            <w:hideMark/>
          </w:tcPr>
          <w:p w14:paraId="65590C25"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r>
      <w:tr w:rsidR="0091394E" w:rsidRPr="00C172A2" w14:paraId="4DE4EB64"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3B8343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Class of Instrument</w:t>
            </w:r>
          </w:p>
        </w:tc>
        <w:tc>
          <w:tcPr>
            <w:tcW w:w="6520" w:type="dxa"/>
            <w:gridSpan w:val="9"/>
            <w:tcBorders>
              <w:top w:val="single" w:sz="4" w:space="0" w:color="auto"/>
              <w:left w:val="nil"/>
              <w:bottom w:val="single" w:sz="4" w:space="0" w:color="auto"/>
              <w:right w:val="single" w:sz="4" w:space="0" w:color="auto"/>
            </w:tcBorders>
            <w:shd w:val="clear" w:color="auto" w:fill="auto"/>
            <w:vAlign w:val="center"/>
            <w:hideMark/>
          </w:tcPr>
          <w:p w14:paraId="7CB88576"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Currency derivatives / swaps, Forwards, and other Currency Derivatives</w:t>
            </w:r>
          </w:p>
        </w:tc>
      </w:tr>
      <w:tr w:rsidR="0091394E" w:rsidRPr="00C172A2" w14:paraId="0A8A3DE2" w14:textId="77777777" w:rsidTr="0091394E">
        <w:trPr>
          <w:gridAfter w:val="1"/>
          <w:wAfter w:w="639" w:type="dxa"/>
          <w:trHeight w:val="8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22727F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520" w:type="dxa"/>
            <w:gridSpan w:val="9"/>
            <w:tcBorders>
              <w:top w:val="single" w:sz="4" w:space="0" w:color="auto"/>
              <w:left w:val="nil"/>
              <w:bottom w:val="single" w:sz="4" w:space="0" w:color="auto"/>
              <w:right w:val="single" w:sz="4" w:space="0" w:color="auto"/>
            </w:tcBorders>
            <w:shd w:val="clear" w:color="auto" w:fill="auto"/>
            <w:vAlign w:val="center"/>
            <w:hideMark/>
          </w:tcPr>
          <w:p w14:paraId="13359B0F"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w:t>
            </w:r>
          </w:p>
        </w:tc>
      </w:tr>
      <w:tr w:rsidR="006A0280" w:rsidRPr="00C172A2" w14:paraId="7E72165D" w14:textId="77777777" w:rsidTr="0091394E">
        <w:trPr>
          <w:gridAfter w:val="1"/>
          <w:wAfter w:w="639" w:type="dxa"/>
          <w:trHeight w:val="187"/>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474B9C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276" w:type="dxa"/>
            <w:tcBorders>
              <w:top w:val="nil"/>
              <w:left w:val="nil"/>
              <w:bottom w:val="single" w:sz="4" w:space="0" w:color="auto"/>
              <w:right w:val="single" w:sz="4" w:space="0" w:color="auto"/>
            </w:tcBorders>
            <w:shd w:val="clear" w:color="auto" w:fill="auto"/>
            <w:vAlign w:val="center"/>
            <w:hideMark/>
          </w:tcPr>
          <w:p w14:paraId="3D06F2D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volume traded as a percentage of total in that class</w:t>
            </w:r>
          </w:p>
        </w:tc>
        <w:tc>
          <w:tcPr>
            <w:tcW w:w="1417" w:type="dxa"/>
            <w:tcBorders>
              <w:top w:val="nil"/>
              <w:left w:val="nil"/>
              <w:bottom w:val="single" w:sz="4" w:space="0" w:color="auto"/>
              <w:right w:val="single" w:sz="4" w:space="0" w:color="auto"/>
            </w:tcBorders>
            <w:shd w:val="clear" w:color="auto" w:fill="auto"/>
            <w:vAlign w:val="center"/>
            <w:hideMark/>
          </w:tcPr>
          <w:p w14:paraId="4E9FC25B"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orders executed as percentage of total in that class</w:t>
            </w:r>
          </w:p>
        </w:tc>
        <w:tc>
          <w:tcPr>
            <w:tcW w:w="1276" w:type="dxa"/>
            <w:gridSpan w:val="2"/>
            <w:tcBorders>
              <w:top w:val="nil"/>
              <w:left w:val="nil"/>
              <w:bottom w:val="single" w:sz="4" w:space="0" w:color="auto"/>
              <w:right w:val="single" w:sz="4" w:space="0" w:color="auto"/>
            </w:tcBorders>
            <w:shd w:val="clear" w:color="auto" w:fill="auto"/>
            <w:vAlign w:val="center"/>
            <w:hideMark/>
          </w:tcPr>
          <w:p w14:paraId="61EFEE21"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passive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6" w:type="dxa"/>
            <w:gridSpan w:val="3"/>
            <w:tcBorders>
              <w:top w:val="nil"/>
              <w:left w:val="nil"/>
              <w:bottom w:val="single" w:sz="4" w:space="0" w:color="auto"/>
              <w:right w:val="single" w:sz="4" w:space="0" w:color="auto"/>
            </w:tcBorders>
            <w:shd w:val="clear" w:color="auto" w:fill="auto"/>
            <w:vAlign w:val="center"/>
            <w:hideMark/>
          </w:tcPr>
          <w:p w14:paraId="4C8F565B"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agressive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5" w:type="dxa"/>
            <w:gridSpan w:val="2"/>
            <w:tcBorders>
              <w:top w:val="nil"/>
              <w:left w:val="nil"/>
              <w:bottom w:val="single" w:sz="4" w:space="0" w:color="auto"/>
              <w:right w:val="single" w:sz="4" w:space="0" w:color="auto"/>
            </w:tcBorders>
            <w:shd w:val="clear" w:color="auto" w:fill="auto"/>
            <w:vAlign w:val="center"/>
            <w:hideMark/>
          </w:tcPr>
          <w:p w14:paraId="31F0D041"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w:t>
            </w:r>
            <w:proofErr w:type="spellStart"/>
            <w:r w:rsidRPr="00C172A2">
              <w:rPr>
                <w:rFonts w:ascii="Times New Roman" w:eastAsia="Times New Roman" w:hAnsi="Times New Roman" w:cs="Times New Roman"/>
                <w:color w:val="000000"/>
                <w:sz w:val="14"/>
                <w:szCs w:val="14"/>
                <w:lang w:val="fr-FR" w:eastAsia="ja-JP"/>
              </w:rPr>
              <w:t>directed</w:t>
            </w:r>
            <w:proofErr w:type="spellEnd"/>
            <w:r w:rsidRPr="00C172A2">
              <w:rPr>
                <w:rFonts w:ascii="Times New Roman" w:eastAsia="Times New Roman" w:hAnsi="Times New Roman" w:cs="Times New Roman"/>
                <w:color w:val="000000"/>
                <w:sz w:val="14"/>
                <w:szCs w:val="14"/>
                <w:lang w:val="fr-FR" w:eastAsia="ja-JP"/>
              </w:rPr>
              <w:t xml:space="preserve"> </w:t>
            </w:r>
            <w:proofErr w:type="spellStart"/>
            <w:r w:rsidRPr="00C172A2">
              <w:rPr>
                <w:rFonts w:ascii="Times New Roman" w:eastAsia="Times New Roman" w:hAnsi="Times New Roman" w:cs="Times New Roman"/>
                <w:color w:val="000000"/>
                <w:sz w:val="14"/>
                <w:szCs w:val="14"/>
                <w:lang w:val="fr-FR" w:eastAsia="ja-JP"/>
              </w:rPr>
              <w:t>orders</w:t>
            </w:r>
            <w:proofErr w:type="spellEnd"/>
          </w:p>
        </w:tc>
      </w:tr>
      <w:tr w:rsidR="006A0280" w:rsidRPr="00C172A2" w14:paraId="026408F0"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9D0FC4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CREDIT AGRICOLE CIB (1VUV7VQFKUOQSJ21A208)</w:t>
            </w:r>
          </w:p>
        </w:tc>
        <w:tc>
          <w:tcPr>
            <w:tcW w:w="1276" w:type="dxa"/>
            <w:tcBorders>
              <w:top w:val="nil"/>
              <w:left w:val="nil"/>
              <w:bottom w:val="single" w:sz="4" w:space="0" w:color="auto"/>
              <w:right w:val="single" w:sz="4" w:space="0" w:color="auto"/>
            </w:tcBorders>
            <w:shd w:val="clear" w:color="auto" w:fill="auto"/>
            <w:vAlign w:val="center"/>
            <w:hideMark/>
          </w:tcPr>
          <w:p w14:paraId="616BDC0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417" w:type="dxa"/>
            <w:tcBorders>
              <w:top w:val="nil"/>
              <w:left w:val="nil"/>
              <w:bottom w:val="single" w:sz="4" w:space="0" w:color="auto"/>
              <w:right w:val="single" w:sz="4" w:space="0" w:color="auto"/>
            </w:tcBorders>
            <w:shd w:val="clear" w:color="auto" w:fill="auto"/>
            <w:vAlign w:val="center"/>
            <w:hideMark/>
          </w:tcPr>
          <w:p w14:paraId="01E4F275"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473613E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6" w:type="dxa"/>
            <w:gridSpan w:val="3"/>
            <w:tcBorders>
              <w:top w:val="nil"/>
              <w:left w:val="nil"/>
              <w:bottom w:val="single" w:sz="4" w:space="0" w:color="auto"/>
              <w:right w:val="single" w:sz="4" w:space="0" w:color="auto"/>
            </w:tcBorders>
            <w:shd w:val="clear" w:color="auto" w:fill="auto"/>
            <w:noWrap/>
            <w:vAlign w:val="center"/>
            <w:hideMark/>
          </w:tcPr>
          <w:p w14:paraId="00A71F08"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5" w:type="dxa"/>
            <w:gridSpan w:val="2"/>
            <w:tcBorders>
              <w:top w:val="nil"/>
              <w:left w:val="nil"/>
              <w:bottom w:val="single" w:sz="4" w:space="0" w:color="auto"/>
              <w:right w:val="single" w:sz="4" w:space="0" w:color="auto"/>
            </w:tcBorders>
            <w:shd w:val="clear" w:color="auto" w:fill="auto"/>
            <w:noWrap/>
            <w:vAlign w:val="center"/>
            <w:hideMark/>
          </w:tcPr>
          <w:p w14:paraId="265E154E"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r>
      <w:tr w:rsidR="006A0280" w:rsidRPr="00C172A2" w14:paraId="49E25E87" w14:textId="77777777" w:rsidTr="0091394E">
        <w:trPr>
          <w:trHeight w:val="227"/>
        </w:trPr>
        <w:tc>
          <w:tcPr>
            <w:tcW w:w="3823" w:type="dxa"/>
            <w:gridSpan w:val="2"/>
            <w:tcBorders>
              <w:top w:val="nil"/>
              <w:left w:val="nil"/>
              <w:bottom w:val="nil"/>
              <w:right w:val="nil"/>
            </w:tcBorders>
            <w:shd w:val="clear" w:color="auto" w:fill="auto"/>
            <w:noWrap/>
            <w:vAlign w:val="center"/>
            <w:hideMark/>
          </w:tcPr>
          <w:p w14:paraId="52B7959F"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
        </w:tc>
        <w:tc>
          <w:tcPr>
            <w:tcW w:w="1417" w:type="dxa"/>
            <w:tcBorders>
              <w:top w:val="nil"/>
              <w:left w:val="nil"/>
              <w:bottom w:val="nil"/>
              <w:right w:val="nil"/>
            </w:tcBorders>
            <w:shd w:val="clear" w:color="auto" w:fill="auto"/>
            <w:noWrap/>
            <w:vAlign w:val="center"/>
            <w:hideMark/>
          </w:tcPr>
          <w:p w14:paraId="67F3E052"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11F1A400"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372" w:type="dxa"/>
            <w:gridSpan w:val="2"/>
            <w:tcBorders>
              <w:top w:val="nil"/>
              <w:left w:val="nil"/>
              <w:bottom w:val="nil"/>
              <w:right w:val="nil"/>
            </w:tcBorders>
            <w:shd w:val="clear" w:color="auto" w:fill="auto"/>
            <w:noWrap/>
            <w:vAlign w:val="center"/>
            <w:hideMark/>
          </w:tcPr>
          <w:p w14:paraId="7E2D514A"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2B94740D"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499" w:type="dxa"/>
            <w:gridSpan w:val="2"/>
            <w:tcBorders>
              <w:top w:val="nil"/>
              <w:left w:val="nil"/>
              <w:bottom w:val="nil"/>
              <w:right w:val="nil"/>
            </w:tcBorders>
            <w:shd w:val="clear" w:color="auto" w:fill="auto"/>
            <w:noWrap/>
            <w:vAlign w:val="center"/>
            <w:hideMark/>
          </w:tcPr>
          <w:p w14:paraId="7934ED69"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275" w:type="dxa"/>
            <w:gridSpan w:val="2"/>
            <w:tcBorders>
              <w:top w:val="nil"/>
              <w:left w:val="nil"/>
              <w:bottom w:val="nil"/>
              <w:right w:val="nil"/>
            </w:tcBorders>
            <w:shd w:val="clear" w:color="auto" w:fill="auto"/>
            <w:noWrap/>
            <w:vAlign w:val="center"/>
            <w:hideMark/>
          </w:tcPr>
          <w:p w14:paraId="7E84DB6A"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r>
      <w:tr w:rsidR="0091394E" w:rsidRPr="00C172A2" w14:paraId="1367DA24"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C5145F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Class of Instrument</w:t>
            </w:r>
          </w:p>
        </w:tc>
        <w:tc>
          <w:tcPr>
            <w:tcW w:w="6520" w:type="dxa"/>
            <w:gridSpan w:val="9"/>
            <w:tcBorders>
              <w:top w:val="single" w:sz="4" w:space="0" w:color="auto"/>
              <w:left w:val="nil"/>
              <w:bottom w:val="single" w:sz="4" w:space="0" w:color="auto"/>
              <w:right w:val="single" w:sz="4" w:space="0" w:color="auto"/>
            </w:tcBorders>
            <w:shd w:val="clear" w:color="auto" w:fill="auto"/>
            <w:vAlign w:val="center"/>
            <w:hideMark/>
          </w:tcPr>
          <w:p w14:paraId="24F62EA3"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Bonds and others Debt instruments</w:t>
            </w:r>
          </w:p>
        </w:tc>
      </w:tr>
      <w:tr w:rsidR="0091394E" w:rsidRPr="00C172A2" w14:paraId="2E881E63"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228500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520" w:type="dxa"/>
            <w:gridSpan w:val="9"/>
            <w:tcBorders>
              <w:top w:val="single" w:sz="4" w:space="0" w:color="auto"/>
              <w:left w:val="nil"/>
              <w:bottom w:val="single" w:sz="4" w:space="0" w:color="auto"/>
              <w:right w:val="single" w:sz="4" w:space="0" w:color="auto"/>
            </w:tcBorders>
            <w:shd w:val="clear" w:color="auto" w:fill="auto"/>
            <w:vAlign w:val="center"/>
            <w:hideMark/>
          </w:tcPr>
          <w:p w14:paraId="2F92D1D1"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w:t>
            </w:r>
          </w:p>
        </w:tc>
      </w:tr>
      <w:tr w:rsidR="006A0280" w:rsidRPr="00C172A2" w14:paraId="71A2AAEB"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7027F2D"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276" w:type="dxa"/>
            <w:tcBorders>
              <w:top w:val="nil"/>
              <w:left w:val="nil"/>
              <w:bottom w:val="single" w:sz="4" w:space="0" w:color="auto"/>
              <w:right w:val="single" w:sz="4" w:space="0" w:color="auto"/>
            </w:tcBorders>
            <w:shd w:val="clear" w:color="auto" w:fill="auto"/>
            <w:vAlign w:val="center"/>
            <w:hideMark/>
          </w:tcPr>
          <w:p w14:paraId="75D5B89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volume traded as a percentage of total in that class</w:t>
            </w:r>
          </w:p>
        </w:tc>
        <w:tc>
          <w:tcPr>
            <w:tcW w:w="1417" w:type="dxa"/>
            <w:tcBorders>
              <w:top w:val="nil"/>
              <w:left w:val="nil"/>
              <w:bottom w:val="single" w:sz="4" w:space="0" w:color="auto"/>
              <w:right w:val="single" w:sz="4" w:space="0" w:color="auto"/>
            </w:tcBorders>
            <w:shd w:val="clear" w:color="auto" w:fill="auto"/>
            <w:vAlign w:val="center"/>
            <w:hideMark/>
          </w:tcPr>
          <w:p w14:paraId="231656A3"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orders executed as percentage of total in that class</w:t>
            </w:r>
          </w:p>
        </w:tc>
        <w:tc>
          <w:tcPr>
            <w:tcW w:w="1276" w:type="dxa"/>
            <w:gridSpan w:val="2"/>
            <w:tcBorders>
              <w:top w:val="nil"/>
              <w:left w:val="nil"/>
              <w:bottom w:val="single" w:sz="4" w:space="0" w:color="auto"/>
              <w:right w:val="single" w:sz="4" w:space="0" w:color="auto"/>
            </w:tcBorders>
            <w:shd w:val="clear" w:color="auto" w:fill="auto"/>
            <w:vAlign w:val="center"/>
            <w:hideMark/>
          </w:tcPr>
          <w:p w14:paraId="2B067B7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passive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6" w:type="dxa"/>
            <w:gridSpan w:val="3"/>
            <w:tcBorders>
              <w:top w:val="nil"/>
              <w:left w:val="nil"/>
              <w:bottom w:val="single" w:sz="4" w:space="0" w:color="auto"/>
              <w:right w:val="single" w:sz="4" w:space="0" w:color="auto"/>
            </w:tcBorders>
            <w:shd w:val="clear" w:color="auto" w:fill="auto"/>
            <w:vAlign w:val="center"/>
            <w:hideMark/>
          </w:tcPr>
          <w:p w14:paraId="32BB4C5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agressive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5" w:type="dxa"/>
            <w:gridSpan w:val="2"/>
            <w:tcBorders>
              <w:top w:val="nil"/>
              <w:left w:val="nil"/>
              <w:bottom w:val="single" w:sz="4" w:space="0" w:color="auto"/>
              <w:right w:val="single" w:sz="4" w:space="0" w:color="auto"/>
            </w:tcBorders>
            <w:shd w:val="clear" w:color="auto" w:fill="auto"/>
            <w:vAlign w:val="center"/>
            <w:hideMark/>
          </w:tcPr>
          <w:p w14:paraId="566B68D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w:t>
            </w:r>
            <w:proofErr w:type="spellStart"/>
            <w:r w:rsidRPr="00C172A2">
              <w:rPr>
                <w:rFonts w:ascii="Times New Roman" w:eastAsia="Times New Roman" w:hAnsi="Times New Roman" w:cs="Times New Roman"/>
                <w:color w:val="000000"/>
                <w:sz w:val="14"/>
                <w:szCs w:val="14"/>
                <w:lang w:val="fr-FR" w:eastAsia="ja-JP"/>
              </w:rPr>
              <w:t>directed</w:t>
            </w:r>
            <w:proofErr w:type="spellEnd"/>
            <w:r w:rsidRPr="00C172A2">
              <w:rPr>
                <w:rFonts w:ascii="Times New Roman" w:eastAsia="Times New Roman" w:hAnsi="Times New Roman" w:cs="Times New Roman"/>
                <w:color w:val="000000"/>
                <w:sz w:val="14"/>
                <w:szCs w:val="14"/>
                <w:lang w:val="fr-FR" w:eastAsia="ja-JP"/>
              </w:rPr>
              <w:t xml:space="preserve"> </w:t>
            </w:r>
            <w:proofErr w:type="spellStart"/>
            <w:r w:rsidRPr="00C172A2">
              <w:rPr>
                <w:rFonts w:ascii="Times New Roman" w:eastAsia="Times New Roman" w:hAnsi="Times New Roman" w:cs="Times New Roman"/>
                <w:color w:val="000000"/>
                <w:sz w:val="14"/>
                <w:szCs w:val="14"/>
                <w:lang w:val="fr-FR" w:eastAsia="ja-JP"/>
              </w:rPr>
              <w:t>orders</w:t>
            </w:r>
            <w:proofErr w:type="spellEnd"/>
          </w:p>
        </w:tc>
      </w:tr>
      <w:tr w:rsidR="006A0280" w:rsidRPr="00C172A2" w14:paraId="63A5E9B2"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3E1E6"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CREDIT AGRICOLE CIB (1VUV7VQFKUOQSJ21A208)</w:t>
            </w:r>
          </w:p>
        </w:tc>
        <w:tc>
          <w:tcPr>
            <w:tcW w:w="1276" w:type="dxa"/>
            <w:tcBorders>
              <w:top w:val="nil"/>
              <w:left w:val="nil"/>
              <w:bottom w:val="single" w:sz="4" w:space="0" w:color="auto"/>
              <w:right w:val="single" w:sz="4" w:space="0" w:color="auto"/>
            </w:tcBorders>
            <w:shd w:val="clear" w:color="auto" w:fill="auto"/>
            <w:vAlign w:val="center"/>
            <w:hideMark/>
          </w:tcPr>
          <w:p w14:paraId="467DF704"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417" w:type="dxa"/>
            <w:tcBorders>
              <w:top w:val="nil"/>
              <w:left w:val="nil"/>
              <w:bottom w:val="single" w:sz="4" w:space="0" w:color="auto"/>
              <w:right w:val="single" w:sz="4" w:space="0" w:color="auto"/>
            </w:tcBorders>
            <w:shd w:val="clear" w:color="auto" w:fill="auto"/>
            <w:vAlign w:val="center"/>
            <w:hideMark/>
          </w:tcPr>
          <w:p w14:paraId="697A32B6"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0FF85D4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6" w:type="dxa"/>
            <w:gridSpan w:val="3"/>
            <w:tcBorders>
              <w:top w:val="nil"/>
              <w:left w:val="nil"/>
              <w:bottom w:val="single" w:sz="4" w:space="0" w:color="auto"/>
              <w:right w:val="single" w:sz="4" w:space="0" w:color="auto"/>
            </w:tcBorders>
            <w:shd w:val="clear" w:color="auto" w:fill="auto"/>
            <w:noWrap/>
            <w:vAlign w:val="center"/>
            <w:hideMark/>
          </w:tcPr>
          <w:p w14:paraId="461FAC4F"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5" w:type="dxa"/>
            <w:gridSpan w:val="2"/>
            <w:tcBorders>
              <w:top w:val="nil"/>
              <w:left w:val="nil"/>
              <w:bottom w:val="single" w:sz="4" w:space="0" w:color="auto"/>
              <w:right w:val="single" w:sz="4" w:space="0" w:color="auto"/>
            </w:tcBorders>
            <w:shd w:val="clear" w:color="auto" w:fill="auto"/>
            <w:noWrap/>
            <w:vAlign w:val="center"/>
            <w:hideMark/>
          </w:tcPr>
          <w:p w14:paraId="4822370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r>
      <w:tr w:rsidR="006A0280" w:rsidRPr="00C172A2" w14:paraId="5F82ADFC" w14:textId="77777777" w:rsidTr="0091394E">
        <w:trPr>
          <w:trHeight w:val="227"/>
        </w:trPr>
        <w:tc>
          <w:tcPr>
            <w:tcW w:w="3823" w:type="dxa"/>
            <w:gridSpan w:val="2"/>
            <w:tcBorders>
              <w:top w:val="nil"/>
              <w:left w:val="nil"/>
              <w:bottom w:val="nil"/>
              <w:right w:val="nil"/>
            </w:tcBorders>
            <w:shd w:val="clear" w:color="auto" w:fill="auto"/>
            <w:noWrap/>
            <w:vAlign w:val="center"/>
            <w:hideMark/>
          </w:tcPr>
          <w:p w14:paraId="6F034FE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
        </w:tc>
        <w:tc>
          <w:tcPr>
            <w:tcW w:w="1417" w:type="dxa"/>
            <w:tcBorders>
              <w:top w:val="nil"/>
              <w:left w:val="nil"/>
              <w:bottom w:val="nil"/>
              <w:right w:val="nil"/>
            </w:tcBorders>
            <w:shd w:val="clear" w:color="auto" w:fill="auto"/>
            <w:noWrap/>
            <w:vAlign w:val="center"/>
            <w:hideMark/>
          </w:tcPr>
          <w:p w14:paraId="6D1DC6AE"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2A5BF906"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372" w:type="dxa"/>
            <w:gridSpan w:val="2"/>
            <w:tcBorders>
              <w:top w:val="nil"/>
              <w:left w:val="nil"/>
              <w:bottom w:val="nil"/>
              <w:right w:val="nil"/>
            </w:tcBorders>
            <w:shd w:val="clear" w:color="auto" w:fill="auto"/>
            <w:noWrap/>
            <w:vAlign w:val="center"/>
            <w:hideMark/>
          </w:tcPr>
          <w:p w14:paraId="256D1FBE"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66677737"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499" w:type="dxa"/>
            <w:gridSpan w:val="2"/>
            <w:tcBorders>
              <w:top w:val="nil"/>
              <w:left w:val="nil"/>
              <w:bottom w:val="nil"/>
              <w:right w:val="nil"/>
            </w:tcBorders>
            <w:shd w:val="clear" w:color="auto" w:fill="auto"/>
            <w:noWrap/>
            <w:vAlign w:val="center"/>
            <w:hideMark/>
          </w:tcPr>
          <w:p w14:paraId="2A5565DA"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275" w:type="dxa"/>
            <w:gridSpan w:val="2"/>
            <w:tcBorders>
              <w:top w:val="nil"/>
              <w:left w:val="nil"/>
              <w:bottom w:val="nil"/>
              <w:right w:val="nil"/>
            </w:tcBorders>
            <w:shd w:val="clear" w:color="auto" w:fill="auto"/>
            <w:noWrap/>
            <w:vAlign w:val="center"/>
            <w:hideMark/>
          </w:tcPr>
          <w:p w14:paraId="2931331D"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r>
      <w:tr w:rsidR="0091394E" w:rsidRPr="00C172A2" w14:paraId="295E3BA8"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3597D35"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Class of Instrument</w:t>
            </w:r>
          </w:p>
        </w:tc>
        <w:tc>
          <w:tcPr>
            <w:tcW w:w="6520" w:type="dxa"/>
            <w:gridSpan w:val="9"/>
            <w:tcBorders>
              <w:top w:val="single" w:sz="4" w:space="0" w:color="auto"/>
              <w:left w:val="nil"/>
              <w:bottom w:val="single" w:sz="4" w:space="0" w:color="auto"/>
              <w:right w:val="single" w:sz="4" w:space="0" w:color="auto"/>
            </w:tcBorders>
            <w:shd w:val="clear" w:color="auto" w:fill="auto"/>
            <w:vAlign w:val="center"/>
            <w:hideMark/>
          </w:tcPr>
          <w:p w14:paraId="0B2519DF"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Equity Derivatives / Options, Futures, Swap and Other Equity Derivatives</w:t>
            </w:r>
          </w:p>
        </w:tc>
      </w:tr>
      <w:tr w:rsidR="0091394E" w:rsidRPr="00C172A2" w14:paraId="70C30B24"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F2365FD"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520" w:type="dxa"/>
            <w:gridSpan w:val="9"/>
            <w:tcBorders>
              <w:top w:val="single" w:sz="4" w:space="0" w:color="auto"/>
              <w:left w:val="nil"/>
              <w:bottom w:val="single" w:sz="4" w:space="0" w:color="auto"/>
              <w:right w:val="single" w:sz="4" w:space="0" w:color="auto"/>
            </w:tcBorders>
            <w:shd w:val="clear" w:color="auto" w:fill="auto"/>
            <w:vAlign w:val="center"/>
            <w:hideMark/>
          </w:tcPr>
          <w:p w14:paraId="2C0C591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w:t>
            </w:r>
          </w:p>
        </w:tc>
      </w:tr>
      <w:tr w:rsidR="0091394E" w:rsidRPr="00C172A2" w14:paraId="5D3AF5C6"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058F55F9"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276" w:type="dxa"/>
            <w:tcBorders>
              <w:top w:val="nil"/>
              <w:left w:val="nil"/>
              <w:bottom w:val="single" w:sz="4" w:space="0" w:color="auto"/>
              <w:right w:val="single" w:sz="4" w:space="0" w:color="auto"/>
            </w:tcBorders>
            <w:shd w:val="clear" w:color="000000" w:fill="FFFFFF"/>
            <w:vAlign w:val="center"/>
            <w:hideMark/>
          </w:tcPr>
          <w:p w14:paraId="66E1E88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volume traded as a percentage of total in that class</w:t>
            </w:r>
          </w:p>
        </w:tc>
        <w:tc>
          <w:tcPr>
            <w:tcW w:w="1417" w:type="dxa"/>
            <w:tcBorders>
              <w:top w:val="nil"/>
              <w:left w:val="nil"/>
              <w:bottom w:val="single" w:sz="4" w:space="0" w:color="auto"/>
              <w:right w:val="single" w:sz="4" w:space="0" w:color="auto"/>
            </w:tcBorders>
            <w:shd w:val="clear" w:color="000000" w:fill="FFFFFF"/>
            <w:vAlign w:val="center"/>
            <w:hideMark/>
          </w:tcPr>
          <w:p w14:paraId="03A2704B"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orders executed as percentage of total in that class</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09BA9A48"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passive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6" w:type="dxa"/>
            <w:gridSpan w:val="3"/>
            <w:tcBorders>
              <w:top w:val="nil"/>
              <w:left w:val="nil"/>
              <w:bottom w:val="single" w:sz="4" w:space="0" w:color="auto"/>
              <w:right w:val="single" w:sz="4" w:space="0" w:color="auto"/>
            </w:tcBorders>
            <w:shd w:val="clear" w:color="000000" w:fill="FFFFFF"/>
            <w:vAlign w:val="center"/>
            <w:hideMark/>
          </w:tcPr>
          <w:p w14:paraId="56BD760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agressive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5" w:type="dxa"/>
            <w:gridSpan w:val="2"/>
            <w:tcBorders>
              <w:top w:val="nil"/>
              <w:left w:val="nil"/>
              <w:bottom w:val="single" w:sz="4" w:space="0" w:color="auto"/>
              <w:right w:val="single" w:sz="4" w:space="0" w:color="auto"/>
            </w:tcBorders>
            <w:shd w:val="clear" w:color="000000" w:fill="FFFFFF"/>
            <w:vAlign w:val="center"/>
            <w:hideMark/>
          </w:tcPr>
          <w:p w14:paraId="3D64C088"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w:t>
            </w:r>
            <w:proofErr w:type="spellStart"/>
            <w:r w:rsidRPr="00C172A2">
              <w:rPr>
                <w:rFonts w:ascii="Times New Roman" w:eastAsia="Times New Roman" w:hAnsi="Times New Roman" w:cs="Times New Roman"/>
                <w:color w:val="000000"/>
                <w:sz w:val="14"/>
                <w:szCs w:val="14"/>
                <w:lang w:val="fr-FR" w:eastAsia="ja-JP"/>
              </w:rPr>
              <w:t>directed</w:t>
            </w:r>
            <w:proofErr w:type="spellEnd"/>
            <w:r w:rsidRPr="00C172A2">
              <w:rPr>
                <w:rFonts w:ascii="Times New Roman" w:eastAsia="Times New Roman" w:hAnsi="Times New Roman" w:cs="Times New Roman"/>
                <w:color w:val="000000"/>
                <w:sz w:val="14"/>
                <w:szCs w:val="14"/>
                <w:lang w:val="fr-FR" w:eastAsia="ja-JP"/>
              </w:rPr>
              <w:t xml:space="preserve"> </w:t>
            </w:r>
            <w:proofErr w:type="spellStart"/>
            <w:r w:rsidRPr="00C172A2">
              <w:rPr>
                <w:rFonts w:ascii="Times New Roman" w:eastAsia="Times New Roman" w:hAnsi="Times New Roman" w:cs="Times New Roman"/>
                <w:color w:val="000000"/>
                <w:sz w:val="14"/>
                <w:szCs w:val="14"/>
                <w:lang w:val="fr-FR" w:eastAsia="ja-JP"/>
              </w:rPr>
              <w:t>orders</w:t>
            </w:r>
            <w:proofErr w:type="spellEnd"/>
          </w:p>
        </w:tc>
      </w:tr>
      <w:tr w:rsidR="0091394E" w:rsidRPr="00C172A2" w14:paraId="0256EB31"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F39B0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CREDIT AGRICOLE CIB (1VUV7VQFKUOQSJ21A208)</w:t>
            </w:r>
          </w:p>
        </w:tc>
        <w:tc>
          <w:tcPr>
            <w:tcW w:w="1276" w:type="dxa"/>
            <w:tcBorders>
              <w:top w:val="nil"/>
              <w:left w:val="nil"/>
              <w:bottom w:val="single" w:sz="4" w:space="0" w:color="auto"/>
              <w:right w:val="single" w:sz="4" w:space="0" w:color="auto"/>
            </w:tcBorders>
            <w:shd w:val="clear" w:color="000000" w:fill="FFFFFF"/>
            <w:vAlign w:val="center"/>
            <w:hideMark/>
          </w:tcPr>
          <w:p w14:paraId="518E2252"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417" w:type="dxa"/>
            <w:tcBorders>
              <w:top w:val="nil"/>
              <w:left w:val="nil"/>
              <w:bottom w:val="single" w:sz="4" w:space="0" w:color="auto"/>
              <w:right w:val="single" w:sz="4" w:space="0" w:color="auto"/>
            </w:tcBorders>
            <w:shd w:val="clear" w:color="000000" w:fill="FFFFFF"/>
            <w:vAlign w:val="center"/>
            <w:hideMark/>
          </w:tcPr>
          <w:p w14:paraId="54C77D0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276" w:type="dxa"/>
            <w:gridSpan w:val="2"/>
            <w:tcBorders>
              <w:top w:val="nil"/>
              <w:left w:val="nil"/>
              <w:bottom w:val="single" w:sz="4" w:space="0" w:color="auto"/>
              <w:right w:val="single" w:sz="4" w:space="0" w:color="auto"/>
            </w:tcBorders>
            <w:shd w:val="clear" w:color="000000" w:fill="FFFFFF"/>
            <w:noWrap/>
            <w:vAlign w:val="center"/>
            <w:hideMark/>
          </w:tcPr>
          <w:p w14:paraId="04145C33"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6" w:type="dxa"/>
            <w:gridSpan w:val="3"/>
            <w:tcBorders>
              <w:top w:val="nil"/>
              <w:left w:val="nil"/>
              <w:bottom w:val="single" w:sz="4" w:space="0" w:color="auto"/>
              <w:right w:val="single" w:sz="4" w:space="0" w:color="auto"/>
            </w:tcBorders>
            <w:shd w:val="clear" w:color="000000" w:fill="FFFFFF"/>
            <w:noWrap/>
            <w:vAlign w:val="center"/>
            <w:hideMark/>
          </w:tcPr>
          <w:p w14:paraId="1C21BE29"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5" w:type="dxa"/>
            <w:gridSpan w:val="2"/>
            <w:tcBorders>
              <w:top w:val="nil"/>
              <w:left w:val="nil"/>
              <w:bottom w:val="single" w:sz="4" w:space="0" w:color="auto"/>
              <w:right w:val="single" w:sz="4" w:space="0" w:color="auto"/>
            </w:tcBorders>
            <w:shd w:val="clear" w:color="000000" w:fill="FFFFFF"/>
            <w:noWrap/>
            <w:vAlign w:val="center"/>
            <w:hideMark/>
          </w:tcPr>
          <w:p w14:paraId="5588F61F"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r>
      <w:tr w:rsidR="006A0280" w:rsidRPr="00C172A2" w14:paraId="5A6529EF" w14:textId="77777777" w:rsidTr="0091394E">
        <w:trPr>
          <w:trHeight w:val="227"/>
        </w:trPr>
        <w:tc>
          <w:tcPr>
            <w:tcW w:w="3823" w:type="dxa"/>
            <w:gridSpan w:val="2"/>
            <w:tcBorders>
              <w:top w:val="nil"/>
              <w:left w:val="nil"/>
              <w:bottom w:val="nil"/>
              <w:right w:val="nil"/>
            </w:tcBorders>
            <w:shd w:val="clear" w:color="000000" w:fill="FFFFFF"/>
            <w:noWrap/>
            <w:vAlign w:val="center"/>
            <w:hideMark/>
          </w:tcPr>
          <w:p w14:paraId="5B8967CD"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 </w:t>
            </w:r>
          </w:p>
        </w:tc>
        <w:tc>
          <w:tcPr>
            <w:tcW w:w="1417" w:type="dxa"/>
            <w:tcBorders>
              <w:top w:val="nil"/>
              <w:left w:val="nil"/>
              <w:bottom w:val="nil"/>
              <w:right w:val="nil"/>
            </w:tcBorders>
            <w:shd w:val="clear" w:color="000000" w:fill="FFFFFF"/>
            <w:noWrap/>
            <w:vAlign w:val="center"/>
            <w:hideMark/>
          </w:tcPr>
          <w:p w14:paraId="41601BB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 </w:t>
            </w:r>
          </w:p>
        </w:tc>
        <w:tc>
          <w:tcPr>
            <w:tcW w:w="160" w:type="dxa"/>
            <w:tcBorders>
              <w:top w:val="nil"/>
              <w:left w:val="nil"/>
              <w:bottom w:val="nil"/>
              <w:right w:val="nil"/>
            </w:tcBorders>
            <w:shd w:val="clear" w:color="000000" w:fill="FFFFFF"/>
            <w:noWrap/>
            <w:vAlign w:val="center"/>
            <w:hideMark/>
          </w:tcPr>
          <w:p w14:paraId="1F14DA3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 </w:t>
            </w:r>
          </w:p>
        </w:tc>
        <w:tc>
          <w:tcPr>
            <w:tcW w:w="1372" w:type="dxa"/>
            <w:gridSpan w:val="2"/>
            <w:tcBorders>
              <w:top w:val="nil"/>
              <w:left w:val="nil"/>
              <w:bottom w:val="nil"/>
              <w:right w:val="nil"/>
            </w:tcBorders>
            <w:shd w:val="clear" w:color="000000" w:fill="FFFFFF"/>
            <w:noWrap/>
            <w:vAlign w:val="center"/>
            <w:hideMark/>
          </w:tcPr>
          <w:p w14:paraId="7E04E89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 </w:t>
            </w:r>
          </w:p>
        </w:tc>
        <w:tc>
          <w:tcPr>
            <w:tcW w:w="160" w:type="dxa"/>
            <w:tcBorders>
              <w:top w:val="nil"/>
              <w:left w:val="nil"/>
              <w:bottom w:val="nil"/>
              <w:right w:val="nil"/>
            </w:tcBorders>
            <w:shd w:val="clear" w:color="000000" w:fill="FFFFFF"/>
            <w:noWrap/>
            <w:vAlign w:val="center"/>
            <w:hideMark/>
          </w:tcPr>
          <w:p w14:paraId="1D5BDCE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 </w:t>
            </w:r>
          </w:p>
        </w:tc>
        <w:tc>
          <w:tcPr>
            <w:tcW w:w="1499" w:type="dxa"/>
            <w:gridSpan w:val="2"/>
            <w:tcBorders>
              <w:top w:val="nil"/>
              <w:left w:val="nil"/>
              <w:bottom w:val="nil"/>
              <w:right w:val="nil"/>
            </w:tcBorders>
            <w:shd w:val="clear" w:color="000000" w:fill="FFFFFF"/>
            <w:noWrap/>
            <w:vAlign w:val="center"/>
            <w:hideMark/>
          </w:tcPr>
          <w:p w14:paraId="68370B25"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 </w:t>
            </w:r>
          </w:p>
        </w:tc>
        <w:tc>
          <w:tcPr>
            <w:tcW w:w="1275" w:type="dxa"/>
            <w:gridSpan w:val="2"/>
            <w:tcBorders>
              <w:top w:val="nil"/>
              <w:left w:val="nil"/>
              <w:bottom w:val="nil"/>
              <w:right w:val="nil"/>
            </w:tcBorders>
            <w:shd w:val="clear" w:color="000000" w:fill="FFFFFF"/>
            <w:noWrap/>
            <w:vAlign w:val="center"/>
            <w:hideMark/>
          </w:tcPr>
          <w:p w14:paraId="22B37A3D"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 </w:t>
            </w:r>
          </w:p>
        </w:tc>
      </w:tr>
      <w:tr w:rsidR="0091394E" w:rsidRPr="00C172A2" w14:paraId="2538A4AC"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7606A35E"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Class of Instrument</w:t>
            </w:r>
          </w:p>
        </w:tc>
        <w:tc>
          <w:tcPr>
            <w:tcW w:w="6520" w:type="dxa"/>
            <w:gridSpan w:val="9"/>
            <w:tcBorders>
              <w:top w:val="single" w:sz="4" w:space="0" w:color="auto"/>
              <w:left w:val="nil"/>
              <w:bottom w:val="single" w:sz="4" w:space="0" w:color="auto"/>
              <w:right w:val="single" w:sz="4" w:space="0" w:color="auto"/>
            </w:tcBorders>
            <w:shd w:val="clear" w:color="000000" w:fill="FFFFFF"/>
            <w:vAlign w:val="center"/>
            <w:hideMark/>
          </w:tcPr>
          <w:p w14:paraId="77B63C6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Structured</w:t>
            </w:r>
            <w:proofErr w:type="spellEnd"/>
            <w:r w:rsidRPr="00C172A2">
              <w:rPr>
                <w:rFonts w:ascii="Times New Roman" w:eastAsia="Times New Roman" w:hAnsi="Times New Roman" w:cs="Times New Roman"/>
                <w:color w:val="000000"/>
                <w:sz w:val="14"/>
                <w:szCs w:val="14"/>
                <w:lang w:val="fr-FR" w:eastAsia="ja-JP"/>
              </w:rPr>
              <w:t xml:space="preserve"> Finance Instruments</w:t>
            </w:r>
          </w:p>
        </w:tc>
      </w:tr>
      <w:tr w:rsidR="0091394E" w:rsidRPr="00C172A2" w14:paraId="151D43E1" w14:textId="77777777" w:rsidTr="008F6EB8">
        <w:trPr>
          <w:gridAfter w:val="1"/>
          <w:wAfter w:w="639" w:type="dxa"/>
          <w:trHeight w:val="171"/>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09121F33"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520" w:type="dxa"/>
            <w:gridSpan w:val="9"/>
            <w:tcBorders>
              <w:top w:val="single" w:sz="4" w:space="0" w:color="auto"/>
              <w:left w:val="nil"/>
              <w:bottom w:val="single" w:sz="4" w:space="0" w:color="auto"/>
              <w:right w:val="single" w:sz="4" w:space="0" w:color="auto"/>
            </w:tcBorders>
            <w:shd w:val="clear" w:color="000000" w:fill="FFFFFF"/>
            <w:vAlign w:val="center"/>
            <w:hideMark/>
          </w:tcPr>
          <w:p w14:paraId="17438A4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w:t>
            </w:r>
          </w:p>
        </w:tc>
      </w:tr>
      <w:tr w:rsidR="006A0280" w:rsidRPr="00C172A2" w14:paraId="63C4EB36"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EC1C00B"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276" w:type="dxa"/>
            <w:tcBorders>
              <w:top w:val="nil"/>
              <w:left w:val="nil"/>
              <w:bottom w:val="single" w:sz="4" w:space="0" w:color="auto"/>
              <w:right w:val="single" w:sz="4" w:space="0" w:color="auto"/>
            </w:tcBorders>
            <w:shd w:val="clear" w:color="auto" w:fill="auto"/>
            <w:vAlign w:val="center"/>
            <w:hideMark/>
          </w:tcPr>
          <w:p w14:paraId="09F12D68"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volume traded as a percentage of total in that class</w:t>
            </w:r>
          </w:p>
        </w:tc>
        <w:tc>
          <w:tcPr>
            <w:tcW w:w="1417" w:type="dxa"/>
            <w:tcBorders>
              <w:top w:val="nil"/>
              <w:left w:val="nil"/>
              <w:bottom w:val="single" w:sz="4" w:space="0" w:color="auto"/>
              <w:right w:val="single" w:sz="4" w:space="0" w:color="auto"/>
            </w:tcBorders>
            <w:shd w:val="clear" w:color="auto" w:fill="auto"/>
            <w:vAlign w:val="center"/>
            <w:hideMark/>
          </w:tcPr>
          <w:p w14:paraId="0467A63B"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orders executed as percentage of total in that class</w:t>
            </w:r>
          </w:p>
        </w:tc>
        <w:tc>
          <w:tcPr>
            <w:tcW w:w="1276" w:type="dxa"/>
            <w:gridSpan w:val="2"/>
            <w:tcBorders>
              <w:top w:val="nil"/>
              <w:left w:val="nil"/>
              <w:bottom w:val="single" w:sz="4" w:space="0" w:color="auto"/>
              <w:right w:val="single" w:sz="4" w:space="0" w:color="auto"/>
            </w:tcBorders>
            <w:shd w:val="clear" w:color="auto" w:fill="auto"/>
            <w:vAlign w:val="center"/>
            <w:hideMark/>
          </w:tcPr>
          <w:p w14:paraId="1760E8C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passive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6" w:type="dxa"/>
            <w:gridSpan w:val="3"/>
            <w:tcBorders>
              <w:top w:val="nil"/>
              <w:left w:val="nil"/>
              <w:bottom w:val="single" w:sz="4" w:space="0" w:color="auto"/>
              <w:right w:val="single" w:sz="4" w:space="0" w:color="auto"/>
            </w:tcBorders>
            <w:shd w:val="clear" w:color="auto" w:fill="auto"/>
            <w:vAlign w:val="center"/>
            <w:hideMark/>
          </w:tcPr>
          <w:p w14:paraId="7BCF98E5"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agressive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5" w:type="dxa"/>
            <w:gridSpan w:val="2"/>
            <w:tcBorders>
              <w:top w:val="nil"/>
              <w:left w:val="nil"/>
              <w:bottom w:val="single" w:sz="4" w:space="0" w:color="auto"/>
              <w:right w:val="single" w:sz="4" w:space="0" w:color="auto"/>
            </w:tcBorders>
            <w:shd w:val="clear" w:color="auto" w:fill="auto"/>
            <w:vAlign w:val="center"/>
            <w:hideMark/>
          </w:tcPr>
          <w:p w14:paraId="662991A2"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w:t>
            </w:r>
            <w:proofErr w:type="spellStart"/>
            <w:r w:rsidRPr="00C172A2">
              <w:rPr>
                <w:rFonts w:ascii="Times New Roman" w:eastAsia="Times New Roman" w:hAnsi="Times New Roman" w:cs="Times New Roman"/>
                <w:color w:val="000000"/>
                <w:sz w:val="14"/>
                <w:szCs w:val="14"/>
                <w:lang w:val="fr-FR" w:eastAsia="ja-JP"/>
              </w:rPr>
              <w:t>directed</w:t>
            </w:r>
            <w:proofErr w:type="spellEnd"/>
            <w:r w:rsidRPr="00C172A2">
              <w:rPr>
                <w:rFonts w:ascii="Times New Roman" w:eastAsia="Times New Roman" w:hAnsi="Times New Roman" w:cs="Times New Roman"/>
                <w:color w:val="000000"/>
                <w:sz w:val="14"/>
                <w:szCs w:val="14"/>
                <w:lang w:val="fr-FR" w:eastAsia="ja-JP"/>
              </w:rPr>
              <w:t xml:space="preserve"> </w:t>
            </w:r>
            <w:proofErr w:type="spellStart"/>
            <w:r w:rsidRPr="00C172A2">
              <w:rPr>
                <w:rFonts w:ascii="Times New Roman" w:eastAsia="Times New Roman" w:hAnsi="Times New Roman" w:cs="Times New Roman"/>
                <w:color w:val="000000"/>
                <w:sz w:val="14"/>
                <w:szCs w:val="14"/>
                <w:lang w:val="fr-FR" w:eastAsia="ja-JP"/>
              </w:rPr>
              <w:t>orders</w:t>
            </w:r>
            <w:proofErr w:type="spellEnd"/>
          </w:p>
        </w:tc>
      </w:tr>
      <w:tr w:rsidR="006A0280" w:rsidRPr="00C172A2" w14:paraId="6A753984"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4805E05"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CREDIT AGRICOLE CIB (1VUV7VQFKUOQSJ21A208)</w:t>
            </w:r>
          </w:p>
        </w:tc>
        <w:tc>
          <w:tcPr>
            <w:tcW w:w="1276" w:type="dxa"/>
            <w:tcBorders>
              <w:top w:val="nil"/>
              <w:left w:val="nil"/>
              <w:bottom w:val="single" w:sz="4" w:space="0" w:color="auto"/>
              <w:right w:val="single" w:sz="4" w:space="0" w:color="auto"/>
            </w:tcBorders>
            <w:shd w:val="clear" w:color="auto" w:fill="auto"/>
            <w:vAlign w:val="center"/>
            <w:hideMark/>
          </w:tcPr>
          <w:p w14:paraId="1BA3B2C5"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417" w:type="dxa"/>
            <w:tcBorders>
              <w:top w:val="nil"/>
              <w:left w:val="nil"/>
              <w:bottom w:val="single" w:sz="4" w:space="0" w:color="auto"/>
              <w:right w:val="single" w:sz="4" w:space="0" w:color="auto"/>
            </w:tcBorders>
            <w:shd w:val="clear" w:color="auto" w:fill="auto"/>
            <w:vAlign w:val="center"/>
            <w:hideMark/>
          </w:tcPr>
          <w:p w14:paraId="720DF7F2"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1CEDEA9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6" w:type="dxa"/>
            <w:gridSpan w:val="3"/>
            <w:tcBorders>
              <w:top w:val="nil"/>
              <w:left w:val="nil"/>
              <w:bottom w:val="single" w:sz="4" w:space="0" w:color="auto"/>
              <w:right w:val="single" w:sz="4" w:space="0" w:color="auto"/>
            </w:tcBorders>
            <w:shd w:val="clear" w:color="auto" w:fill="auto"/>
            <w:noWrap/>
            <w:vAlign w:val="center"/>
            <w:hideMark/>
          </w:tcPr>
          <w:p w14:paraId="6E4D5714"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5" w:type="dxa"/>
            <w:gridSpan w:val="2"/>
            <w:tcBorders>
              <w:top w:val="nil"/>
              <w:left w:val="nil"/>
              <w:bottom w:val="single" w:sz="4" w:space="0" w:color="auto"/>
              <w:right w:val="single" w:sz="4" w:space="0" w:color="auto"/>
            </w:tcBorders>
            <w:shd w:val="clear" w:color="auto" w:fill="auto"/>
            <w:noWrap/>
            <w:vAlign w:val="center"/>
            <w:hideMark/>
          </w:tcPr>
          <w:p w14:paraId="28128B42"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r>
      <w:tr w:rsidR="006A0280" w:rsidRPr="00C172A2" w14:paraId="10CABCA3" w14:textId="77777777" w:rsidTr="0091394E">
        <w:trPr>
          <w:trHeight w:val="227"/>
        </w:trPr>
        <w:tc>
          <w:tcPr>
            <w:tcW w:w="3823" w:type="dxa"/>
            <w:gridSpan w:val="2"/>
            <w:tcBorders>
              <w:top w:val="nil"/>
              <w:left w:val="nil"/>
              <w:bottom w:val="nil"/>
              <w:right w:val="nil"/>
            </w:tcBorders>
            <w:shd w:val="clear" w:color="auto" w:fill="auto"/>
            <w:noWrap/>
            <w:vAlign w:val="center"/>
            <w:hideMark/>
          </w:tcPr>
          <w:p w14:paraId="2E2C754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
        </w:tc>
        <w:tc>
          <w:tcPr>
            <w:tcW w:w="1417" w:type="dxa"/>
            <w:tcBorders>
              <w:top w:val="nil"/>
              <w:left w:val="nil"/>
              <w:bottom w:val="nil"/>
              <w:right w:val="nil"/>
            </w:tcBorders>
            <w:shd w:val="clear" w:color="auto" w:fill="auto"/>
            <w:noWrap/>
            <w:vAlign w:val="center"/>
            <w:hideMark/>
          </w:tcPr>
          <w:p w14:paraId="7A9C66C7"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5D1FEAC2"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372" w:type="dxa"/>
            <w:gridSpan w:val="2"/>
            <w:tcBorders>
              <w:top w:val="nil"/>
              <w:left w:val="nil"/>
              <w:bottom w:val="nil"/>
              <w:right w:val="nil"/>
            </w:tcBorders>
            <w:shd w:val="clear" w:color="auto" w:fill="auto"/>
            <w:noWrap/>
            <w:vAlign w:val="center"/>
            <w:hideMark/>
          </w:tcPr>
          <w:p w14:paraId="2C7E0818"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7A093E9B"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499" w:type="dxa"/>
            <w:gridSpan w:val="2"/>
            <w:tcBorders>
              <w:top w:val="nil"/>
              <w:left w:val="nil"/>
              <w:bottom w:val="nil"/>
              <w:right w:val="nil"/>
            </w:tcBorders>
            <w:shd w:val="clear" w:color="auto" w:fill="auto"/>
            <w:noWrap/>
            <w:vAlign w:val="center"/>
            <w:hideMark/>
          </w:tcPr>
          <w:p w14:paraId="4FB3C1DC"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275" w:type="dxa"/>
            <w:gridSpan w:val="2"/>
            <w:tcBorders>
              <w:top w:val="nil"/>
              <w:left w:val="nil"/>
              <w:bottom w:val="nil"/>
              <w:right w:val="nil"/>
            </w:tcBorders>
            <w:shd w:val="clear" w:color="auto" w:fill="auto"/>
            <w:noWrap/>
            <w:vAlign w:val="center"/>
            <w:hideMark/>
          </w:tcPr>
          <w:p w14:paraId="3E20F102"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r>
      <w:tr w:rsidR="0091394E" w:rsidRPr="00C172A2" w14:paraId="6200EDF7"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CB363B3"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Class of Instrument</w:t>
            </w:r>
          </w:p>
        </w:tc>
        <w:tc>
          <w:tcPr>
            <w:tcW w:w="6520" w:type="dxa"/>
            <w:gridSpan w:val="9"/>
            <w:tcBorders>
              <w:top w:val="single" w:sz="4" w:space="0" w:color="auto"/>
              <w:left w:val="nil"/>
              <w:bottom w:val="single" w:sz="4" w:space="0" w:color="auto"/>
              <w:right w:val="single" w:sz="4" w:space="0" w:color="000000"/>
            </w:tcBorders>
            <w:shd w:val="clear" w:color="auto" w:fill="auto"/>
            <w:vAlign w:val="center"/>
            <w:hideMark/>
          </w:tcPr>
          <w:p w14:paraId="1904A37F"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Treasury - Debt Instruments - Commercial Paper and Certificate of Deposit</w:t>
            </w:r>
          </w:p>
        </w:tc>
      </w:tr>
      <w:tr w:rsidR="0091394E" w:rsidRPr="00C172A2" w14:paraId="04A83419"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8B60AB9"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520" w:type="dxa"/>
            <w:gridSpan w:val="9"/>
            <w:tcBorders>
              <w:top w:val="single" w:sz="4" w:space="0" w:color="auto"/>
              <w:left w:val="nil"/>
              <w:bottom w:val="single" w:sz="4" w:space="0" w:color="auto"/>
              <w:right w:val="single" w:sz="4" w:space="0" w:color="000000"/>
            </w:tcBorders>
            <w:shd w:val="clear" w:color="auto" w:fill="auto"/>
            <w:vAlign w:val="center"/>
            <w:hideMark/>
          </w:tcPr>
          <w:p w14:paraId="5AC64DE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w:t>
            </w:r>
          </w:p>
        </w:tc>
      </w:tr>
      <w:tr w:rsidR="006A0280" w:rsidRPr="00C172A2" w14:paraId="3F1D25B9" w14:textId="77777777" w:rsidTr="0091394E">
        <w:trPr>
          <w:gridAfter w:val="1"/>
          <w:wAfter w:w="639" w:type="dxa"/>
          <w:trHeight w:val="138"/>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3E362FF"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276" w:type="dxa"/>
            <w:tcBorders>
              <w:top w:val="nil"/>
              <w:left w:val="nil"/>
              <w:bottom w:val="single" w:sz="4" w:space="0" w:color="auto"/>
              <w:right w:val="single" w:sz="4" w:space="0" w:color="auto"/>
            </w:tcBorders>
            <w:shd w:val="clear" w:color="auto" w:fill="auto"/>
            <w:vAlign w:val="center"/>
            <w:hideMark/>
          </w:tcPr>
          <w:p w14:paraId="0559A828"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volume traded as a percentage of total in that class</w:t>
            </w:r>
          </w:p>
        </w:tc>
        <w:tc>
          <w:tcPr>
            <w:tcW w:w="1417" w:type="dxa"/>
            <w:tcBorders>
              <w:top w:val="nil"/>
              <w:left w:val="nil"/>
              <w:bottom w:val="single" w:sz="4" w:space="0" w:color="auto"/>
              <w:right w:val="single" w:sz="4" w:space="0" w:color="auto"/>
            </w:tcBorders>
            <w:shd w:val="clear" w:color="auto" w:fill="auto"/>
            <w:vAlign w:val="center"/>
            <w:hideMark/>
          </w:tcPr>
          <w:p w14:paraId="5B94C00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orders executed as percentage of total in that class</w:t>
            </w:r>
          </w:p>
        </w:tc>
        <w:tc>
          <w:tcPr>
            <w:tcW w:w="1276" w:type="dxa"/>
            <w:gridSpan w:val="2"/>
            <w:tcBorders>
              <w:top w:val="nil"/>
              <w:left w:val="nil"/>
              <w:bottom w:val="single" w:sz="4" w:space="0" w:color="auto"/>
              <w:right w:val="single" w:sz="4" w:space="0" w:color="auto"/>
            </w:tcBorders>
            <w:shd w:val="clear" w:color="auto" w:fill="auto"/>
            <w:vAlign w:val="center"/>
            <w:hideMark/>
          </w:tcPr>
          <w:p w14:paraId="7496A60D"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passive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6" w:type="dxa"/>
            <w:gridSpan w:val="3"/>
            <w:tcBorders>
              <w:top w:val="nil"/>
              <w:left w:val="nil"/>
              <w:bottom w:val="single" w:sz="4" w:space="0" w:color="auto"/>
              <w:right w:val="single" w:sz="4" w:space="0" w:color="auto"/>
            </w:tcBorders>
            <w:shd w:val="clear" w:color="auto" w:fill="auto"/>
            <w:vAlign w:val="center"/>
            <w:hideMark/>
          </w:tcPr>
          <w:p w14:paraId="526D29B2"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agressive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5" w:type="dxa"/>
            <w:gridSpan w:val="2"/>
            <w:tcBorders>
              <w:top w:val="nil"/>
              <w:left w:val="nil"/>
              <w:bottom w:val="single" w:sz="4" w:space="0" w:color="auto"/>
              <w:right w:val="single" w:sz="4" w:space="0" w:color="auto"/>
            </w:tcBorders>
            <w:shd w:val="clear" w:color="auto" w:fill="auto"/>
            <w:vAlign w:val="center"/>
            <w:hideMark/>
          </w:tcPr>
          <w:p w14:paraId="40E57DF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w:t>
            </w:r>
            <w:proofErr w:type="spellStart"/>
            <w:r w:rsidRPr="00C172A2">
              <w:rPr>
                <w:rFonts w:ascii="Times New Roman" w:eastAsia="Times New Roman" w:hAnsi="Times New Roman" w:cs="Times New Roman"/>
                <w:color w:val="000000"/>
                <w:sz w:val="14"/>
                <w:szCs w:val="14"/>
                <w:lang w:val="fr-FR" w:eastAsia="ja-JP"/>
              </w:rPr>
              <w:t>directed</w:t>
            </w:r>
            <w:proofErr w:type="spellEnd"/>
            <w:r w:rsidRPr="00C172A2">
              <w:rPr>
                <w:rFonts w:ascii="Times New Roman" w:eastAsia="Times New Roman" w:hAnsi="Times New Roman" w:cs="Times New Roman"/>
                <w:color w:val="000000"/>
                <w:sz w:val="14"/>
                <w:szCs w:val="14"/>
                <w:lang w:val="fr-FR" w:eastAsia="ja-JP"/>
              </w:rPr>
              <w:t xml:space="preserve"> </w:t>
            </w:r>
            <w:proofErr w:type="spellStart"/>
            <w:r w:rsidRPr="00C172A2">
              <w:rPr>
                <w:rFonts w:ascii="Times New Roman" w:eastAsia="Times New Roman" w:hAnsi="Times New Roman" w:cs="Times New Roman"/>
                <w:color w:val="000000"/>
                <w:sz w:val="14"/>
                <w:szCs w:val="14"/>
                <w:lang w:val="fr-FR" w:eastAsia="ja-JP"/>
              </w:rPr>
              <w:t>orders</w:t>
            </w:r>
            <w:proofErr w:type="spellEnd"/>
          </w:p>
        </w:tc>
      </w:tr>
      <w:tr w:rsidR="006A0280" w:rsidRPr="00C172A2" w14:paraId="39260AD2"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C3CF343"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CREDIT AGRICOLE CIB (1VUV7VQFKUOQSJ21A208)</w:t>
            </w:r>
          </w:p>
        </w:tc>
        <w:tc>
          <w:tcPr>
            <w:tcW w:w="1276" w:type="dxa"/>
            <w:tcBorders>
              <w:top w:val="nil"/>
              <w:left w:val="nil"/>
              <w:bottom w:val="single" w:sz="4" w:space="0" w:color="auto"/>
              <w:right w:val="single" w:sz="4" w:space="0" w:color="auto"/>
            </w:tcBorders>
            <w:shd w:val="clear" w:color="auto" w:fill="auto"/>
            <w:vAlign w:val="center"/>
            <w:hideMark/>
          </w:tcPr>
          <w:p w14:paraId="294D2F0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417" w:type="dxa"/>
            <w:tcBorders>
              <w:top w:val="nil"/>
              <w:left w:val="nil"/>
              <w:bottom w:val="single" w:sz="4" w:space="0" w:color="auto"/>
              <w:right w:val="single" w:sz="4" w:space="0" w:color="auto"/>
            </w:tcBorders>
            <w:shd w:val="clear" w:color="auto" w:fill="auto"/>
            <w:vAlign w:val="center"/>
            <w:hideMark/>
          </w:tcPr>
          <w:p w14:paraId="1110EEC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51A5826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6" w:type="dxa"/>
            <w:gridSpan w:val="3"/>
            <w:tcBorders>
              <w:top w:val="nil"/>
              <w:left w:val="nil"/>
              <w:bottom w:val="single" w:sz="4" w:space="0" w:color="auto"/>
              <w:right w:val="single" w:sz="4" w:space="0" w:color="auto"/>
            </w:tcBorders>
            <w:shd w:val="clear" w:color="auto" w:fill="auto"/>
            <w:noWrap/>
            <w:vAlign w:val="center"/>
            <w:hideMark/>
          </w:tcPr>
          <w:p w14:paraId="5588FDD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5" w:type="dxa"/>
            <w:gridSpan w:val="2"/>
            <w:tcBorders>
              <w:top w:val="nil"/>
              <w:left w:val="nil"/>
              <w:bottom w:val="single" w:sz="4" w:space="0" w:color="auto"/>
              <w:right w:val="single" w:sz="4" w:space="0" w:color="auto"/>
            </w:tcBorders>
            <w:shd w:val="clear" w:color="auto" w:fill="auto"/>
            <w:noWrap/>
            <w:vAlign w:val="center"/>
            <w:hideMark/>
          </w:tcPr>
          <w:p w14:paraId="037EF913"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r>
      <w:tr w:rsidR="006A0280" w:rsidRPr="00C172A2" w14:paraId="381B93E5" w14:textId="77777777" w:rsidTr="0091394E">
        <w:trPr>
          <w:trHeight w:val="227"/>
        </w:trPr>
        <w:tc>
          <w:tcPr>
            <w:tcW w:w="3823" w:type="dxa"/>
            <w:gridSpan w:val="2"/>
            <w:tcBorders>
              <w:top w:val="nil"/>
              <w:left w:val="nil"/>
              <w:bottom w:val="nil"/>
              <w:right w:val="nil"/>
            </w:tcBorders>
            <w:shd w:val="clear" w:color="auto" w:fill="auto"/>
            <w:noWrap/>
            <w:vAlign w:val="center"/>
            <w:hideMark/>
          </w:tcPr>
          <w:p w14:paraId="0379E79E"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
        </w:tc>
        <w:tc>
          <w:tcPr>
            <w:tcW w:w="1417" w:type="dxa"/>
            <w:tcBorders>
              <w:top w:val="nil"/>
              <w:left w:val="nil"/>
              <w:bottom w:val="nil"/>
              <w:right w:val="nil"/>
            </w:tcBorders>
            <w:shd w:val="clear" w:color="auto" w:fill="auto"/>
            <w:noWrap/>
            <w:vAlign w:val="center"/>
            <w:hideMark/>
          </w:tcPr>
          <w:p w14:paraId="76B75D41"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7381840A"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372" w:type="dxa"/>
            <w:gridSpan w:val="2"/>
            <w:tcBorders>
              <w:top w:val="nil"/>
              <w:left w:val="nil"/>
              <w:bottom w:val="nil"/>
              <w:right w:val="nil"/>
            </w:tcBorders>
            <w:shd w:val="clear" w:color="auto" w:fill="auto"/>
            <w:noWrap/>
            <w:vAlign w:val="center"/>
            <w:hideMark/>
          </w:tcPr>
          <w:p w14:paraId="4AB37688"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61D725D5"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499" w:type="dxa"/>
            <w:gridSpan w:val="2"/>
            <w:tcBorders>
              <w:top w:val="nil"/>
              <w:left w:val="nil"/>
              <w:bottom w:val="nil"/>
              <w:right w:val="nil"/>
            </w:tcBorders>
            <w:shd w:val="clear" w:color="auto" w:fill="auto"/>
            <w:noWrap/>
            <w:vAlign w:val="center"/>
            <w:hideMark/>
          </w:tcPr>
          <w:p w14:paraId="15D341D6"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275" w:type="dxa"/>
            <w:gridSpan w:val="2"/>
            <w:tcBorders>
              <w:top w:val="nil"/>
              <w:left w:val="nil"/>
              <w:bottom w:val="nil"/>
              <w:right w:val="nil"/>
            </w:tcBorders>
            <w:shd w:val="clear" w:color="auto" w:fill="auto"/>
            <w:noWrap/>
            <w:vAlign w:val="center"/>
            <w:hideMark/>
          </w:tcPr>
          <w:p w14:paraId="64915FF8"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r>
      <w:tr w:rsidR="0091394E" w:rsidRPr="00C172A2" w14:paraId="15B0C959"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15059A2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lastRenderedPageBreak/>
              <w:t>Class of Instrument</w:t>
            </w:r>
          </w:p>
        </w:tc>
        <w:tc>
          <w:tcPr>
            <w:tcW w:w="6520" w:type="dxa"/>
            <w:gridSpan w:val="9"/>
            <w:tcBorders>
              <w:top w:val="single" w:sz="4" w:space="0" w:color="auto"/>
              <w:left w:val="nil"/>
              <w:bottom w:val="single" w:sz="4" w:space="0" w:color="auto"/>
              <w:right w:val="single" w:sz="4" w:space="0" w:color="auto"/>
            </w:tcBorders>
            <w:shd w:val="clear" w:color="000000" w:fill="FFFFFF"/>
            <w:vAlign w:val="center"/>
            <w:hideMark/>
          </w:tcPr>
          <w:p w14:paraId="12F6809D"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Securities lending and borrowings (with bonds underlying)</w:t>
            </w:r>
          </w:p>
        </w:tc>
      </w:tr>
      <w:tr w:rsidR="0091394E" w:rsidRPr="00C172A2" w14:paraId="3F56404F"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3A292BA8"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520" w:type="dxa"/>
            <w:gridSpan w:val="9"/>
            <w:tcBorders>
              <w:top w:val="single" w:sz="4" w:space="0" w:color="auto"/>
              <w:left w:val="nil"/>
              <w:bottom w:val="single" w:sz="4" w:space="0" w:color="auto"/>
              <w:right w:val="single" w:sz="4" w:space="0" w:color="auto"/>
            </w:tcBorders>
            <w:shd w:val="clear" w:color="000000" w:fill="FFFFFF"/>
            <w:vAlign w:val="center"/>
            <w:hideMark/>
          </w:tcPr>
          <w:p w14:paraId="587C9B14"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w:t>
            </w:r>
          </w:p>
        </w:tc>
      </w:tr>
      <w:tr w:rsidR="0091394E" w:rsidRPr="00C172A2" w14:paraId="37ABDAA8" w14:textId="77777777" w:rsidTr="0091394E">
        <w:trPr>
          <w:gridAfter w:val="1"/>
          <w:wAfter w:w="639" w:type="dxa"/>
          <w:trHeight w:val="119"/>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6AEDDBB5"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276" w:type="dxa"/>
            <w:tcBorders>
              <w:top w:val="nil"/>
              <w:left w:val="nil"/>
              <w:bottom w:val="single" w:sz="4" w:space="0" w:color="auto"/>
              <w:right w:val="single" w:sz="4" w:space="0" w:color="auto"/>
            </w:tcBorders>
            <w:shd w:val="clear" w:color="000000" w:fill="FFFFFF"/>
            <w:vAlign w:val="center"/>
            <w:hideMark/>
          </w:tcPr>
          <w:p w14:paraId="421293C2"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volume traded as a percentage of total in that class</w:t>
            </w:r>
          </w:p>
        </w:tc>
        <w:tc>
          <w:tcPr>
            <w:tcW w:w="1417" w:type="dxa"/>
            <w:tcBorders>
              <w:top w:val="nil"/>
              <w:left w:val="nil"/>
              <w:bottom w:val="single" w:sz="4" w:space="0" w:color="auto"/>
              <w:right w:val="single" w:sz="4" w:space="0" w:color="auto"/>
            </w:tcBorders>
            <w:shd w:val="clear" w:color="000000" w:fill="FFFFFF"/>
            <w:vAlign w:val="center"/>
            <w:hideMark/>
          </w:tcPr>
          <w:p w14:paraId="5DBB4D9F"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orders executed as percentage of total in that class</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759DA5E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passive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6" w:type="dxa"/>
            <w:gridSpan w:val="3"/>
            <w:tcBorders>
              <w:top w:val="nil"/>
              <w:left w:val="nil"/>
              <w:bottom w:val="single" w:sz="4" w:space="0" w:color="auto"/>
              <w:right w:val="single" w:sz="4" w:space="0" w:color="auto"/>
            </w:tcBorders>
            <w:shd w:val="clear" w:color="000000" w:fill="FFFFFF"/>
            <w:vAlign w:val="center"/>
            <w:hideMark/>
          </w:tcPr>
          <w:p w14:paraId="3BF354C8"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agressive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5" w:type="dxa"/>
            <w:gridSpan w:val="2"/>
            <w:tcBorders>
              <w:top w:val="nil"/>
              <w:left w:val="nil"/>
              <w:bottom w:val="single" w:sz="4" w:space="0" w:color="auto"/>
              <w:right w:val="single" w:sz="4" w:space="0" w:color="auto"/>
            </w:tcBorders>
            <w:shd w:val="clear" w:color="000000" w:fill="FFFFFF"/>
            <w:vAlign w:val="center"/>
            <w:hideMark/>
          </w:tcPr>
          <w:p w14:paraId="010854D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w:t>
            </w:r>
            <w:proofErr w:type="spellStart"/>
            <w:r w:rsidRPr="00C172A2">
              <w:rPr>
                <w:rFonts w:ascii="Times New Roman" w:eastAsia="Times New Roman" w:hAnsi="Times New Roman" w:cs="Times New Roman"/>
                <w:color w:val="000000"/>
                <w:sz w:val="14"/>
                <w:szCs w:val="14"/>
                <w:lang w:val="fr-FR" w:eastAsia="ja-JP"/>
              </w:rPr>
              <w:t>directed</w:t>
            </w:r>
            <w:proofErr w:type="spellEnd"/>
            <w:r w:rsidRPr="00C172A2">
              <w:rPr>
                <w:rFonts w:ascii="Times New Roman" w:eastAsia="Times New Roman" w:hAnsi="Times New Roman" w:cs="Times New Roman"/>
                <w:color w:val="000000"/>
                <w:sz w:val="14"/>
                <w:szCs w:val="14"/>
                <w:lang w:val="fr-FR" w:eastAsia="ja-JP"/>
              </w:rPr>
              <w:t xml:space="preserve"> </w:t>
            </w:r>
            <w:proofErr w:type="spellStart"/>
            <w:r w:rsidRPr="00C172A2">
              <w:rPr>
                <w:rFonts w:ascii="Times New Roman" w:eastAsia="Times New Roman" w:hAnsi="Times New Roman" w:cs="Times New Roman"/>
                <w:color w:val="000000"/>
                <w:sz w:val="14"/>
                <w:szCs w:val="14"/>
                <w:lang w:val="fr-FR" w:eastAsia="ja-JP"/>
              </w:rPr>
              <w:t>orders</w:t>
            </w:r>
            <w:proofErr w:type="spellEnd"/>
          </w:p>
        </w:tc>
      </w:tr>
      <w:tr w:rsidR="0091394E" w:rsidRPr="00C172A2" w14:paraId="3D8D8F6E" w14:textId="77777777" w:rsidTr="0091394E">
        <w:trPr>
          <w:gridAfter w:val="1"/>
          <w:wAfter w:w="639" w:type="dxa"/>
          <w:trHeight w:val="53"/>
        </w:trPr>
        <w:tc>
          <w:tcPr>
            <w:tcW w:w="2547" w:type="dxa"/>
            <w:tcBorders>
              <w:top w:val="single" w:sz="4" w:space="0" w:color="auto"/>
              <w:left w:val="single" w:sz="4" w:space="0" w:color="auto"/>
              <w:bottom w:val="nil"/>
              <w:right w:val="single" w:sz="4" w:space="0" w:color="000000"/>
            </w:tcBorders>
            <w:shd w:val="clear" w:color="000000" w:fill="FFFFFF"/>
            <w:vAlign w:val="center"/>
            <w:hideMark/>
          </w:tcPr>
          <w:p w14:paraId="56F01FFF"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CREDIT AGRICOLE CIB (1VUV7VQFKUOQSJ21A208)</w:t>
            </w:r>
          </w:p>
        </w:tc>
        <w:tc>
          <w:tcPr>
            <w:tcW w:w="1276" w:type="dxa"/>
            <w:tcBorders>
              <w:top w:val="nil"/>
              <w:left w:val="nil"/>
              <w:bottom w:val="nil"/>
              <w:right w:val="single" w:sz="4" w:space="0" w:color="auto"/>
            </w:tcBorders>
            <w:shd w:val="clear" w:color="000000" w:fill="FFFFFF"/>
            <w:vAlign w:val="center"/>
            <w:hideMark/>
          </w:tcPr>
          <w:p w14:paraId="55084B15"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417" w:type="dxa"/>
            <w:tcBorders>
              <w:top w:val="nil"/>
              <w:left w:val="nil"/>
              <w:bottom w:val="nil"/>
              <w:right w:val="single" w:sz="4" w:space="0" w:color="auto"/>
            </w:tcBorders>
            <w:shd w:val="clear" w:color="000000" w:fill="FFFFFF"/>
            <w:vAlign w:val="center"/>
            <w:hideMark/>
          </w:tcPr>
          <w:p w14:paraId="3A354F7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276" w:type="dxa"/>
            <w:gridSpan w:val="2"/>
            <w:tcBorders>
              <w:top w:val="nil"/>
              <w:left w:val="nil"/>
              <w:bottom w:val="nil"/>
              <w:right w:val="single" w:sz="4" w:space="0" w:color="auto"/>
            </w:tcBorders>
            <w:shd w:val="clear" w:color="000000" w:fill="FFFFFF"/>
            <w:noWrap/>
            <w:vAlign w:val="center"/>
            <w:hideMark/>
          </w:tcPr>
          <w:p w14:paraId="2A36D5E9"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6" w:type="dxa"/>
            <w:gridSpan w:val="3"/>
            <w:tcBorders>
              <w:top w:val="nil"/>
              <w:left w:val="nil"/>
              <w:bottom w:val="nil"/>
              <w:right w:val="single" w:sz="4" w:space="0" w:color="auto"/>
            </w:tcBorders>
            <w:shd w:val="clear" w:color="000000" w:fill="FFFFFF"/>
            <w:noWrap/>
            <w:vAlign w:val="center"/>
            <w:hideMark/>
          </w:tcPr>
          <w:p w14:paraId="14B9164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5" w:type="dxa"/>
            <w:gridSpan w:val="2"/>
            <w:tcBorders>
              <w:top w:val="nil"/>
              <w:left w:val="nil"/>
              <w:bottom w:val="nil"/>
              <w:right w:val="single" w:sz="4" w:space="0" w:color="auto"/>
            </w:tcBorders>
            <w:shd w:val="clear" w:color="000000" w:fill="FFFFFF"/>
            <w:noWrap/>
            <w:vAlign w:val="center"/>
            <w:hideMark/>
          </w:tcPr>
          <w:p w14:paraId="1B9851F9"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r>
      <w:tr w:rsidR="0091394E" w:rsidRPr="00C172A2" w14:paraId="117BAACC" w14:textId="77777777" w:rsidTr="008F6EB8">
        <w:trPr>
          <w:gridAfter w:val="1"/>
          <w:wAfter w:w="639" w:type="dxa"/>
          <w:trHeight w:val="43"/>
        </w:trPr>
        <w:tc>
          <w:tcPr>
            <w:tcW w:w="2547" w:type="dxa"/>
            <w:tcBorders>
              <w:top w:val="single" w:sz="8" w:space="0" w:color="auto"/>
              <w:left w:val="single" w:sz="4" w:space="0" w:color="auto"/>
              <w:bottom w:val="single" w:sz="4" w:space="0" w:color="auto"/>
              <w:right w:val="single" w:sz="4" w:space="0" w:color="auto"/>
            </w:tcBorders>
            <w:shd w:val="clear" w:color="000000" w:fill="FFFFFF"/>
            <w:vAlign w:val="center"/>
            <w:hideMark/>
          </w:tcPr>
          <w:p w14:paraId="7AC43DDB"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Class of Instrument</w:t>
            </w:r>
          </w:p>
        </w:tc>
        <w:tc>
          <w:tcPr>
            <w:tcW w:w="6520" w:type="dxa"/>
            <w:gridSpan w:val="9"/>
            <w:tcBorders>
              <w:top w:val="single" w:sz="8" w:space="0" w:color="auto"/>
              <w:left w:val="nil"/>
              <w:bottom w:val="single" w:sz="4" w:space="0" w:color="auto"/>
              <w:right w:val="single" w:sz="4" w:space="0" w:color="auto"/>
            </w:tcBorders>
            <w:shd w:val="clear" w:color="000000" w:fill="FFFFFF"/>
            <w:vAlign w:val="center"/>
            <w:hideMark/>
          </w:tcPr>
          <w:p w14:paraId="55860506"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Securities lending and borrowings (with equity underlying)</w:t>
            </w:r>
          </w:p>
        </w:tc>
      </w:tr>
      <w:tr w:rsidR="0091394E" w:rsidRPr="00C172A2" w14:paraId="688DBE73" w14:textId="77777777" w:rsidTr="008F6EB8">
        <w:trPr>
          <w:gridAfter w:val="1"/>
          <w:wAfter w:w="639" w:type="dxa"/>
          <w:trHeight w:val="80"/>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5054120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520" w:type="dxa"/>
            <w:gridSpan w:val="9"/>
            <w:tcBorders>
              <w:top w:val="single" w:sz="4" w:space="0" w:color="auto"/>
              <w:left w:val="nil"/>
              <w:bottom w:val="single" w:sz="4" w:space="0" w:color="auto"/>
              <w:right w:val="single" w:sz="4" w:space="0" w:color="auto"/>
            </w:tcBorders>
            <w:shd w:val="clear" w:color="000000" w:fill="FFFFFF"/>
            <w:vAlign w:val="center"/>
            <w:hideMark/>
          </w:tcPr>
          <w:p w14:paraId="4443653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w:t>
            </w:r>
          </w:p>
        </w:tc>
      </w:tr>
      <w:tr w:rsidR="0091394E" w:rsidRPr="00C172A2" w14:paraId="1F83D919" w14:textId="77777777" w:rsidTr="008F6EB8">
        <w:trPr>
          <w:gridAfter w:val="1"/>
          <w:wAfter w:w="639" w:type="dxa"/>
          <w:trHeight w:val="183"/>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20D01DB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276" w:type="dxa"/>
            <w:tcBorders>
              <w:top w:val="nil"/>
              <w:left w:val="nil"/>
              <w:bottom w:val="single" w:sz="4" w:space="0" w:color="auto"/>
              <w:right w:val="single" w:sz="4" w:space="0" w:color="auto"/>
            </w:tcBorders>
            <w:shd w:val="clear" w:color="000000" w:fill="FFFFFF"/>
            <w:vAlign w:val="center"/>
            <w:hideMark/>
          </w:tcPr>
          <w:p w14:paraId="6B10CA72"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volume traded as a percentage of total in that class</w:t>
            </w:r>
          </w:p>
        </w:tc>
        <w:tc>
          <w:tcPr>
            <w:tcW w:w="1417" w:type="dxa"/>
            <w:tcBorders>
              <w:top w:val="nil"/>
              <w:left w:val="nil"/>
              <w:bottom w:val="single" w:sz="4" w:space="0" w:color="auto"/>
              <w:right w:val="single" w:sz="4" w:space="0" w:color="auto"/>
            </w:tcBorders>
            <w:shd w:val="clear" w:color="000000" w:fill="FFFFFF"/>
            <w:vAlign w:val="center"/>
            <w:hideMark/>
          </w:tcPr>
          <w:p w14:paraId="7E3376DD"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orders executed as percentage of total in that class</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1763FB71"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passive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6" w:type="dxa"/>
            <w:gridSpan w:val="3"/>
            <w:tcBorders>
              <w:top w:val="nil"/>
              <w:left w:val="nil"/>
              <w:bottom w:val="single" w:sz="4" w:space="0" w:color="auto"/>
              <w:right w:val="single" w:sz="4" w:space="0" w:color="auto"/>
            </w:tcBorders>
            <w:shd w:val="clear" w:color="000000" w:fill="FFFFFF"/>
            <w:vAlign w:val="center"/>
            <w:hideMark/>
          </w:tcPr>
          <w:p w14:paraId="71B1DAF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agressive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5" w:type="dxa"/>
            <w:gridSpan w:val="2"/>
            <w:tcBorders>
              <w:top w:val="nil"/>
              <w:left w:val="nil"/>
              <w:bottom w:val="single" w:sz="4" w:space="0" w:color="auto"/>
              <w:right w:val="single" w:sz="4" w:space="0" w:color="auto"/>
            </w:tcBorders>
            <w:shd w:val="clear" w:color="000000" w:fill="FFFFFF"/>
            <w:vAlign w:val="center"/>
            <w:hideMark/>
          </w:tcPr>
          <w:p w14:paraId="4F2A296B"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w:t>
            </w:r>
            <w:proofErr w:type="spellStart"/>
            <w:r w:rsidRPr="00C172A2">
              <w:rPr>
                <w:rFonts w:ascii="Times New Roman" w:eastAsia="Times New Roman" w:hAnsi="Times New Roman" w:cs="Times New Roman"/>
                <w:color w:val="000000"/>
                <w:sz w:val="14"/>
                <w:szCs w:val="14"/>
                <w:lang w:val="fr-FR" w:eastAsia="ja-JP"/>
              </w:rPr>
              <w:t>directed</w:t>
            </w:r>
            <w:proofErr w:type="spellEnd"/>
            <w:r w:rsidRPr="00C172A2">
              <w:rPr>
                <w:rFonts w:ascii="Times New Roman" w:eastAsia="Times New Roman" w:hAnsi="Times New Roman" w:cs="Times New Roman"/>
                <w:color w:val="000000"/>
                <w:sz w:val="14"/>
                <w:szCs w:val="14"/>
                <w:lang w:val="fr-FR" w:eastAsia="ja-JP"/>
              </w:rPr>
              <w:t xml:space="preserve"> </w:t>
            </w:r>
            <w:proofErr w:type="spellStart"/>
            <w:r w:rsidRPr="00C172A2">
              <w:rPr>
                <w:rFonts w:ascii="Times New Roman" w:eastAsia="Times New Roman" w:hAnsi="Times New Roman" w:cs="Times New Roman"/>
                <w:color w:val="000000"/>
                <w:sz w:val="14"/>
                <w:szCs w:val="14"/>
                <w:lang w:val="fr-FR" w:eastAsia="ja-JP"/>
              </w:rPr>
              <w:t>orders</w:t>
            </w:r>
            <w:proofErr w:type="spellEnd"/>
          </w:p>
        </w:tc>
      </w:tr>
      <w:tr w:rsidR="0091394E" w:rsidRPr="00C172A2" w14:paraId="21956F7F" w14:textId="77777777" w:rsidTr="008F6EB8">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202C44C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CREDIT AGRICOLE CIB (1VUV7VQFKUOQSJ21A208)</w:t>
            </w:r>
          </w:p>
        </w:tc>
        <w:tc>
          <w:tcPr>
            <w:tcW w:w="1276" w:type="dxa"/>
            <w:tcBorders>
              <w:top w:val="nil"/>
              <w:left w:val="nil"/>
              <w:bottom w:val="single" w:sz="4" w:space="0" w:color="auto"/>
              <w:right w:val="single" w:sz="4" w:space="0" w:color="auto"/>
            </w:tcBorders>
            <w:shd w:val="clear" w:color="000000" w:fill="FFFFFF"/>
            <w:vAlign w:val="center"/>
            <w:hideMark/>
          </w:tcPr>
          <w:p w14:paraId="5D57AF68"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417" w:type="dxa"/>
            <w:tcBorders>
              <w:top w:val="nil"/>
              <w:left w:val="nil"/>
              <w:bottom w:val="single" w:sz="4" w:space="0" w:color="auto"/>
              <w:right w:val="single" w:sz="4" w:space="0" w:color="auto"/>
            </w:tcBorders>
            <w:shd w:val="clear" w:color="000000" w:fill="FFFFFF"/>
            <w:vAlign w:val="center"/>
            <w:hideMark/>
          </w:tcPr>
          <w:p w14:paraId="07F10133"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276" w:type="dxa"/>
            <w:gridSpan w:val="2"/>
            <w:tcBorders>
              <w:top w:val="nil"/>
              <w:left w:val="nil"/>
              <w:bottom w:val="single" w:sz="4" w:space="0" w:color="auto"/>
              <w:right w:val="single" w:sz="4" w:space="0" w:color="auto"/>
            </w:tcBorders>
            <w:shd w:val="clear" w:color="000000" w:fill="FFFFFF"/>
            <w:noWrap/>
            <w:vAlign w:val="center"/>
            <w:hideMark/>
          </w:tcPr>
          <w:p w14:paraId="43C7C1E4"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6" w:type="dxa"/>
            <w:gridSpan w:val="3"/>
            <w:tcBorders>
              <w:top w:val="nil"/>
              <w:left w:val="nil"/>
              <w:bottom w:val="single" w:sz="4" w:space="0" w:color="auto"/>
              <w:right w:val="single" w:sz="4" w:space="0" w:color="auto"/>
            </w:tcBorders>
            <w:shd w:val="clear" w:color="000000" w:fill="FFFFFF"/>
            <w:noWrap/>
            <w:vAlign w:val="center"/>
            <w:hideMark/>
          </w:tcPr>
          <w:p w14:paraId="616622C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5" w:type="dxa"/>
            <w:gridSpan w:val="2"/>
            <w:tcBorders>
              <w:top w:val="nil"/>
              <w:left w:val="nil"/>
              <w:bottom w:val="single" w:sz="4" w:space="0" w:color="auto"/>
              <w:right w:val="single" w:sz="4" w:space="0" w:color="auto"/>
            </w:tcBorders>
            <w:shd w:val="clear" w:color="000000" w:fill="FFFFFF"/>
            <w:noWrap/>
            <w:vAlign w:val="center"/>
            <w:hideMark/>
          </w:tcPr>
          <w:p w14:paraId="26518CDB"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r>
    </w:tbl>
    <w:p w14:paraId="58C7B75C" w14:textId="191256EF" w:rsidR="00351522" w:rsidRPr="00321F4B" w:rsidRDefault="00351522" w:rsidP="00351522">
      <w:pPr>
        <w:pStyle w:val="Default"/>
        <w:spacing w:line="276" w:lineRule="auto"/>
        <w:jc w:val="both"/>
        <w:rPr>
          <w:rFonts w:asciiTheme="majorHAnsi" w:eastAsiaTheme="majorEastAsia" w:hAnsiTheme="majorHAnsi" w:cstheme="majorBidi"/>
          <w:b/>
          <w:bCs/>
          <w:color w:val="365F91" w:themeColor="accent1" w:themeShade="BF"/>
          <w:szCs w:val="28"/>
          <w:lang w:val="en-US" w:eastAsia="ja-JP"/>
        </w:rPr>
      </w:pPr>
    </w:p>
    <w:p w14:paraId="00D238A4" w14:textId="77777777" w:rsidR="004A7523" w:rsidRPr="00076D9E" w:rsidRDefault="004A7523" w:rsidP="00D22E22">
      <w:pPr>
        <w:pStyle w:val="Default"/>
        <w:spacing w:line="276" w:lineRule="auto"/>
        <w:jc w:val="both"/>
        <w:rPr>
          <w:rFonts w:asciiTheme="majorHAnsi" w:eastAsiaTheme="majorEastAsia" w:hAnsiTheme="majorHAnsi" w:cstheme="majorBidi"/>
          <w:b/>
          <w:bCs/>
          <w:color w:val="365F91" w:themeColor="accent1" w:themeShade="BF"/>
          <w:szCs w:val="28"/>
          <w:lang w:val="en-US" w:eastAsia="ja-JP"/>
        </w:rPr>
      </w:pPr>
      <w:r w:rsidRPr="00076D9E">
        <w:rPr>
          <w:rFonts w:asciiTheme="majorHAnsi" w:eastAsiaTheme="majorEastAsia" w:hAnsiTheme="majorHAnsi" w:cstheme="majorBidi"/>
          <w:b/>
          <w:bCs/>
          <w:color w:val="365F91" w:themeColor="accent1" w:themeShade="BF"/>
          <w:szCs w:val="28"/>
          <w:lang w:val="en-US" w:eastAsia="ja-JP"/>
        </w:rPr>
        <w:t xml:space="preserve">Top five execution venues </w:t>
      </w:r>
      <w:r w:rsidR="00033CAC" w:rsidRPr="00076D9E">
        <w:rPr>
          <w:rFonts w:asciiTheme="majorHAnsi" w:eastAsiaTheme="majorEastAsia" w:hAnsiTheme="majorHAnsi" w:cstheme="majorBidi"/>
          <w:b/>
          <w:bCs/>
          <w:color w:val="365F91" w:themeColor="accent1" w:themeShade="BF"/>
          <w:szCs w:val="28"/>
          <w:lang w:val="en-US" w:eastAsia="ja-JP"/>
        </w:rPr>
        <w:t xml:space="preserve">in terms of trading volumes for </w:t>
      </w:r>
      <w:r w:rsidR="00A7246F" w:rsidRPr="00076D9E">
        <w:rPr>
          <w:rFonts w:asciiTheme="majorHAnsi" w:eastAsiaTheme="majorEastAsia" w:hAnsiTheme="majorHAnsi" w:cstheme="majorBidi"/>
          <w:b/>
          <w:bCs/>
          <w:color w:val="365F91" w:themeColor="accent1" w:themeShade="BF"/>
          <w:szCs w:val="28"/>
          <w:lang w:val="en-US" w:eastAsia="ja-JP"/>
        </w:rPr>
        <w:t xml:space="preserve">all executed client orders in </w:t>
      </w:r>
      <w:r w:rsidR="00543C64" w:rsidRPr="00076D9E">
        <w:rPr>
          <w:rFonts w:asciiTheme="majorHAnsi" w:eastAsiaTheme="majorEastAsia" w:hAnsiTheme="majorHAnsi" w:cstheme="majorBidi"/>
          <w:b/>
          <w:bCs/>
          <w:color w:val="365F91" w:themeColor="accent1" w:themeShade="BF"/>
          <w:szCs w:val="28"/>
          <w:lang w:val="en-US" w:eastAsia="ja-JP"/>
        </w:rPr>
        <w:t xml:space="preserve">SFTs </w:t>
      </w:r>
      <w:r w:rsidRPr="00076D9E">
        <w:rPr>
          <w:rFonts w:asciiTheme="majorHAnsi" w:eastAsiaTheme="majorEastAsia" w:hAnsiTheme="majorHAnsi" w:cstheme="majorBidi"/>
          <w:b/>
          <w:bCs/>
          <w:color w:val="365F91" w:themeColor="accent1" w:themeShade="BF"/>
          <w:szCs w:val="28"/>
          <w:lang w:val="en-US" w:eastAsia="ja-JP"/>
        </w:rPr>
        <w:t>(art. 3.2 of EU 2017/576)</w:t>
      </w:r>
    </w:p>
    <w:p w14:paraId="1BD3947E" w14:textId="77777777" w:rsidR="00033CAC" w:rsidRPr="00A61CA7" w:rsidRDefault="00033CAC" w:rsidP="00D22E22">
      <w:pPr>
        <w:pStyle w:val="Default"/>
        <w:spacing w:line="276" w:lineRule="auto"/>
        <w:jc w:val="both"/>
        <w:rPr>
          <w:rFonts w:asciiTheme="minorHAnsi" w:hAnsiTheme="minorHAnsi"/>
          <w:b/>
          <w:color w:val="002060"/>
          <w:sz w:val="28"/>
          <w:szCs w:val="28"/>
        </w:rPr>
      </w:pPr>
    </w:p>
    <w:tbl>
      <w:tblPr>
        <w:tblW w:w="9062" w:type="dxa"/>
        <w:tblCellMar>
          <w:left w:w="70" w:type="dxa"/>
          <w:right w:w="70" w:type="dxa"/>
        </w:tblCellMar>
        <w:tblLook w:val="04A0" w:firstRow="1" w:lastRow="0" w:firstColumn="1" w:lastColumn="0" w:noHBand="0" w:noVBand="1"/>
      </w:tblPr>
      <w:tblGrid>
        <w:gridCol w:w="2547"/>
        <w:gridCol w:w="4699"/>
        <w:gridCol w:w="1816"/>
      </w:tblGrid>
      <w:tr w:rsidR="001547CD" w:rsidRPr="001547CD" w14:paraId="3DBD7763" w14:textId="77777777" w:rsidTr="001547CD">
        <w:trPr>
          <w:trHeight w:val="276"/>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1550A4" w14:textId="77777777" w:rsidR="001547CD" w:rsidRPr="001547CD" w:rsidRDefault="001547CD" w:rsidP="001547CD">
            <w:pPr>
              <w:spacing w:after="0" w:line="240" w:lineRule="auto"/>
              <w:jc w:val="center"/>
              <w:rPr>
                <w:rFonts w:ascii="Times New Roman" w:eastAsia="Times New Roman" w:hAnsi="Times New Roman" w:cs="Times New Roman"/>
                <w:color w:val="000000"/>
                <w:sz w:val="14"/>
                <w:szCs w:val="14"/>
                <w:lang w:val="fr-FR" w:eastAsia="ja-JP"/>
              </w:rPr>
            </w:pPr>
            <w:r w:rsidRPr="001547CD">
              <w:rPr>
                <w:rFonts w:ascii="Times New Roman" w:eastAsia="Times New Roman" w:hAnsi="Times New Roman" w:cs="Times New Roman"/>
                <w:color w:val="000000"/>
                <w:sz w:val="14"/>
                <w:szCs w:val="14"/>
                <w:lang w:val="fr-FR" w:eastAsia="ja-JP"/>
              </w:rPr>
              <w:t>Class of Instrument</w:t>
            </w:r>
          </w:p>
        </w:tc>
        <w:tc>
          <w:tcPr>
            <w:tcW w:w="6515" w:type="dxa"/>
            <w:gridSpan w:val="2"/>
            <w:tcBorders>
              <w:top w:val="single" w:sz="4" w:space="0" w:color="auto"/>
              <w:left w:val="nil"/>
              <w:bottom w:val="single" w:sz="4" w:space="0" w:color="auto"/>
              <w:right w:val="single" w:sz="4" w:space="0" w:color="auto"/>
            </w:tcBorders>
            <w:shd w:val="clear" w:color="auto" w:fill="auto"/>
            <w:vAlign w:val="center"/>
            <w:hideMark/>
          </w:tcPr>
          <w:p w14:paraId="4EC38476" w14:textId="77777777" w:rsidR="001547CD" w:rsidRPr="001547CD" w:rsidRDefault="001547CD" w:rsidP="001547CD">
            <w:pPr>
              <w:spacing w:after="0" w:line="240" w:lineRule="auto"/>
              <w:jc w:val="center"/>
              <w:rPr>
                <w:rFonts w:ascii="Times New Roman" w:eastAsia="Times New Roman" w:hAnsi="Times New Roman" w:cs="Times New Roman"/>
                <w:color w:val="000000"/>
                <w:sz w:val="14"/>
                <w:szCs w:val="14"/>
                <w:lang w:val="fr-FR" w:eastAsia="ja-JP"/>
              </w:rPr>
            </w:pPr>
            <w:r w:rsidRPr="001547CD">
              <w:rPr>
                <w:rFonts w:ascii="Times New Roman" w:eastAsia="Times New Roman" w:hAnsi="Times New Roman" w:cs="Times New Roman"/>
                <w:color w:val="000000"/>
                <w:sz w:val="14"/>
                <w:szCs w:val="14"/>
                <w:lang w:val="fr-FR" w:eastAsia="ja-JP"/>
              </w:rPr>
              <w:t>SFT</w:t>
            </w:r>
          </w:p>
        </w:tc>
      </w:tr>
      <w:tr w:rsidR="001547CD" w:rsidRPr="001547CD" w14:paraId="6F52D4BC" w14:textId="77777777" w:rsidTr="001547CD">
        <w:trPr>
          <w:trHeight w:val="53"/>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99E69C" w14:textId="77777777" w:rsidR="001547CD" w:rsidRPr="001547CD" w:rsidRDefault="001547CD" w:rsidP="001547CD">
            <w:pPr>
              <w:spacing w:after="0" w:line="240" w:lineRule="auto"/>
              <w:jc w:val="center"/>
              <w:rPr>
                <w:rFonts w:ascii="Times New Roman" w:eastAsia="Times New Roman" w:hAnsi="Times New Roman" w:cs="Times New Roman"/>
                <w:color w:val="000000"/>
                <w:sz w:val="14"/>
                <w:szCs w:val="14"/>
                <w:lang w:val="en-US" w:eastAsia="ja-JP"/>
              </w:rPr>
            </w:pPr>
            <w:r w:rsidRPr="001547CD">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515" w:type="dxa"/>
            <w:gridSpan w:val="2"/>
            <w:tcBorders>
              <w:top w:val="single" w:sz="4" w:space="0" w:color="auto"/>
              <w:left w:val="nil"/>
              <w:bottom w:val="single" w:sz="4" w:space="0" w:color="auto"/>
              <w:right w:val="single" w:sz="4" w:space="0" w:color="auto"/>
            </w:tcBorders>
            <w:shd w:val="clear" w:color="auto" w:fill="auto"/>
            <w:vAlign w:val="center"/>
            <w:hideMark/>
          </w:tcPr>
          <w:p w14:paraId="3330B9C0" w14:textId="77777777" w:rsidR="001547CD" w:rsidRPr="001547CD" w:rsidRDefault="001547CD" w:rsidP="001547CD">
            <w:pPr>
              <w:spacing w:after="0" w:line="240" w:lineRule="auto"/>
              <w:jc w:val="center"/>
              <w:rPr>
                <w:rFonts w:ascii="Times New Roman" w:eastAsia="Times New Roman" w:hAnsi="Times New Roman" w:cs="Times New Roman"/>
                <w:color w:val="000000"/>
                <w:sz w:val="14"/>
                <w:szCs w:val="14"/>
                <w:lang w:val="fr-FR" w:eastAsia="ja-JP"/>
              </w:rPr>
            </w:pPr>
            <w:r w:rsidRPr="001547CD">
              <w:rPr>
                <w:rFonts w:ascii="Times New Roman" w:eastAsia="Times New Roman" w:hAnsi="Times New Roman" w:cs="Times New Roman"/>
                <w:color w:val="000000"/>
                <w:sz w:val="14"/>
                <w:szCs w:val="14"/>
                <w:lang w:val="fr-FR" w:eastAsia="ja-JP"/>
              </w:rPr>
              <w:t>N</w:t>
            </w:r>
          </w:p>
        </w:tc>
      </w:tr>
      <w:tr w:rsidR="001547CD" w:rsidRPr="001547CD" w14:paraId="6A1E4DB6" w14:textId="77777777" w:rsidTr="001547CD">
        <w:trPr>
          <w:trHeight w:val="53"/>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83644" w14:textId="77777777" w:rsidR="001547CD" w:rsidRPr="001547CD" w:rsidRDefault="001547CD" w:rsidP="001547CD">
            <w:pPr>
              <w:spacing w:after="0" w:line="240" w:lineRule="auto"/>
              <w:jc w:val="center"/>
              <w:rPr>
                <w:rFonts w:ascii="Times New Roman" w:eastAsia="Times New Roman" w:hAnsi="Times New Roman" w:cs="Times New Roman"/>
                <w:color w:val="000000"/>
                <w:sz w:val="14"/>
                <w:szCs w:val="14"/>
                <w:lang w:val="en-US" w:eastAsia="ja-JP"/>
              </w:rPr>
            </w:pPr>
            <w:r w:rsidRPr="001547CD">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4699" w:type="dxa"/>
            <w:tcBorders>
              <w:top w:val="nil"/>
              <w:left w:val="nil"/>
              <w:bottom w:val="single" w:sz="4" w:space="0" w:color="auto"/>
              <w:right w:val="single" w:sz="4" w:space="0" w:color="auto"/>
            </w:tcBorders>
            <w:shd w:val="clear" w:color="auto" w:fill="auto"/>
            <w:vAlign w:val="center"/>
            <w:hideMark/>
          </w:tcPr>
          <w:p w14:paraId="5106C637" w14:textId="77777777" w:rsidR="001547CD" w:rsidRPr="001547CD" w:rsidRDefault="001547CD" w:rsidP="00A00EB7">
            <w:pPr>
              <w:spacing w:after="0" w:line="240" w:lineRule="auto"/>
              <w:jc w:val="center"/>
              <w:rPr>
                <w:rFonts w:ascii="Times New Roman" w:eastAsia="Times New Roman" w:hAnsi="Times New Roman" w:cs="Times New Roman"/>
                <w:color w:val="000000"/>
                <w:sz w:val="14"/>
                <w:szCs w:val="14"/>
                <w:lang w:val="en-US" w:eastAsia="ja-JP"/>
              </w:rPr>
            </w:pPr>
            <w:r w:rsidRPr="001547CD">
              <w:rPr>
                <w:rFonts w:ascii="Times New Roman" w:eastAsia="Times New Roman" w:hAnsi="Times New Roman" w:cs="Times New Roman"/>
                <w:color w:val="000000"/>
                <w:sz w:val="14"/>
                <w:szCs w:val="14"/>
                <w:lang w:val="en-US" w:eastAsia="ja-JP"/>
              </w:rPr>
              <w:t>Proportion of volume traded as a percentage of total in that class</w:t>
            </w:r>
          </w:p>
        </w:tc>
        <w:tc>
          <w:tcPr>
            <w:tcW w:w="1816" w:type="dxa"/>
            <w:tcBorders>
              <w:top w:val="nil"/>
              <w:left w:val="nil"/>
              <w:bottom w:val="single" w:sz="4" w:space="0" w:color="auto"/>
              <w:right w:val="single" w:sz="4" w:space="0" w:color="auto"/>
            </w:tcBorders>
            <w:shd w:val="clear" w:color="auto" w:fill="auto"/>
            <w:vAlign w:val="center"/>
            <w:hideMark/>
          </w:tcPr>
          <w:p w14:paraId="0BEEFAF5" w14:textId="77777777" w:rsidR="001547CD" w:rsidRPr="001547CD" w:rsidRDefault="001547CD" w:rsidP="00A00EB7">
            <w:pPr>
              <w:spacing w:after="0" w:line="240" w:lineRule="auto"/>
              <w:jc w:val="center"/>
              <w:rPr>
                <w:rFonts w:ascii="Times New Roman" w:eastAsia="Times New Roman" w:hAnsi="Times New Roman" w:cs="Times New Roman"/>
                <w:color w:val="000000"/>
                <w:sz w:val="14"/>
                <w:szCs w:val="14"/>
                <w:lang w:val="en-US" w:eastAsia="ja-JP"/>
              </w:rPr>
            </w:pPr>
            <w:r w:rsidRPr="001547CD">
              <w:rPr>
                <w:rFonts w:ascii="Times New Roman" w:eastAsia="Times New Roman" w:hAnsi="Times New Roman" w:cs="Times New Roman"/>
                <w:color w:val="000000"/>
                <w:sz w:val="14"/>
                <w:szCs w:val="14"/>
                <w:lang w:val="en-US" w:eastAsia="ja-JP"/>
              </w:rPr>
              <w:t>Proportion of orders executed as percentage of total in that class</w:t>
            </w:r>
          </w:p>
        </w:tc>
      </w:tr>
      <w:tr w:rsidR="001547CD" w:rsidRPr="001547CD" w14:paraId="36BAAAFC" w14:textId="77777777" w:rsidTr="001547CD">
        <w:trPr>
          <w:trHeight w:val="276"/>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982E9D" w14:textId="77777777" w:rsidR="001547CD" w:rsidRPr="001547CD" w:rsidRDefault="001547CD" w:rsidP="001547CD">
            <w:pPr>
              <w:spacing w:after="0" w:line="240" w:lineRule="auto"/>
              <w:jc w:val="center"/>
              <w:rPr>
                <w:rFonts w:ascii="Times New Roman" w:eastAsia="Times New Roman" w:hAnsi="Times New Roman" w:cs="Times New Roman"/>
                <w:color w:val="000000"/>
                <w:sz w:val="14"/>
                <w:szCs w:val="14"/>
                <w:lang w:val="fr-FR" w:eastAsia="ja-JP"/>
              </w:rPr>
            </w:pPr>
            <w:r w:rsidRPr="001547CD">
              <w:rPr>
                <w:rFonts w:ascii="Times New Roman" w:eastAsia="Times New Roman" w:hAnsi="Times New Roman" w:cs="Times New Roman"/>
                <w:color w:val="000000"/>
                <w:sz w:val="14"/>
                <w:szCs w:val="14"/>
                <w:lang w:val="fr-FR" w:eastAsia="ja-JP"/>
              </w:rPr>
              <w:t>CREDIT AGRICOLE CIB (1VUV7VQFKUOQSJ21A208)</w:t>
            </w:r>
          </w:p>
        </w:tc>
        <w:tc>
          <w:tcPr>
            <w:tcW w:w="4699" w:type="dxa"/>
            <w:tcBorders>
              <w:top w:val="nil"/>
              <w:left w:val="nil"/>
              <w:bottom w:val="single" w:sz="4" w:space="0" w:color="auto"/>
              <w:right w:val="single" w:sz="4" w:space="0" w:color="auto"/>
            </w:tcBorders>
            <w:shd w:val="clear" w:color="auto" w:fill="auto"/>
            <w:vAlign w:val="center"/>
            <w:hideMark/>
          </w:tcPr>
          <w:p w14:paraId="1440FB4E" w14:textId="77777777" w:rsidR="001547CD" w:rsidRPr="001547CD" w:rsidRDefault="001547CD" w:rsidP="001547CD">
            <w:pPr>
              <w:spacing w:after="0" w:line="240" w:lineRule="auto"/>
              <w:jc w:val="center"/>
              <w:rPr>
                <w:rFonts w:ascii="Times New Roman" w:eastAsia="Times New Roman" w:hAnsi="Times New Roman" w:cs="Times New Roman"/>
                <w:color w:val="000000"/>
                <w:sz w:val="14"/>
                <w:szCs w:val="14"/>
                <w:lang w:val="fr-FR" w:eastAsia="ja-JP"/>
              </w:rPr>
            </w:pPr>
            <w:r w:rsidRPr="001547CD">
              <w:rPr>
                <w:rFonts w:ascii="Times New Roman" w:eastAsia="Times New Roman" w:hAnsi="Times New Roman" w:cs="Times New Roman"/>
                <w:color w:val="000000"/>
                <w:sz w:val="14"/>
                <w:szCs w:val="14"/>
                <w:lang w:val="fr-FR" w:eastAsia="ja-JP"/>
              </w:rPr>
              <w:t>100%</w:t>
            </w:r>
          </w:p>
        </w:tc>
        <w:tc>
          <w:tcPr>
            <w:tcW w:w="1816" w:type="dxa"/>
            <w:tcBorders>
              <w:top w:val="nil"/>
              <w:left w:val="nil"/>
              <w:bottom w:val="single" w:sz="4" w:space="0" w:color="auto"/>
              <w:right w:val="single" w:sz="4" w:space="0" w:color="auto"/>
            </w:tcBorders>
            <w:shd w:val="clear" w:color="auto" w:fill="auto"/>
            <w:vAlign w:val="center"/>
            <w:hideMark/>
          </w:tcPr>
          <w:p w14:paraId="1BF590A4" w14:textId="77777777" w:rsidR="001547CD" w:rsidRPr="001547CD" w:rsidRDefault="001547CD" w:rsidP="001547CD">
            <w:pPr>
              <w:spacing w:after="0" w:line="240" w:lineRule="auto"/>
              <w:jc w:val="center"/>
              <w:rPr>
                <w:rFonts w:ascii="Times New Roman" w:eastAsia="Times New Roman" w:hAnsi="Times New Roman" w:cs="Times New Roman"/>
                <w:color w:val="000000"/>
                <w:sz w:val="14"/>
                <w:szCs w:val="14"/>
                <w:lang w:val="fr-FR" w:eastAsia="ja-JP"/>
              </w:rPr>
            </w:pPr>
            <w:r w:rsidRPr="001547CD">
              <w:rPr>
                <w:rFonts w:ascii="Times New Roman" w:eastAsia="Times New Roman" w:hAnsi="Times New Roman" w:cs="Times New Roman"/>
                <w:color w:val="000000"/>
                <w:sz w:val="14"/>
                <w:szCs w:val="14"/>
                <w:lang w:val="fr-FR" w:eastAsia="ja-JP"/>
              </w:rPr>
              <w:t>100%</w:t>
            </w:r>
          </w:p>
        </w:tc>
      </w:tr>
    </w:tbl>
    <w:p w14:paraId="20137DC9" w14:textId="77777777" w:rsidR="00076D9E" w:rsidRDefault="00076D9E" w:rsidP="00076D9E">
      <w:pPr>
        <w:pStyle w:val="Default"/>
        <w:spacing w:line="276" w:lineRule="auto"/>
        <w:ind w:left="720"/>
        <w:jc w:val="both"/>
        <w:rPr>
          <w:rFonts w:asciiTheme="majorHAnsi" w:eastAsiaTheme="majorEastAsia" w:hAnsiTheme="majorHAnsi" w:cstheme="majorBidi"/>
          <w:b/>
          <w:bCs/>
          <w:color w:val="365F91" w:themeColor="accent1" w:themeShade="BF"/>
          <w:sz w:val="28"/>
          <w:szCs w:val="28"/>
          <w:lang w:val="en-US" w:eastAsia="ja-JP"/>
        </w:rPr>
      </w:pPr>
    </w:p>
    <w:p w14:paraId="26CD566F" w14:textId="77777777" w:rsidR="00644077" w:rsidRPr="00076D9E" w:rsidRDefault="00644077" w:rsidP="00076D9E">
      <w:pPr>
        <w:pStyle w:val="Default"/>
        <w:spacing w:line="276" w:lineRule="auto"/>
        <w:ind w:left="720"/>
        <w:jc w:val="both"/>
        <w:rPr>
          <w:rFonts w:asciiTheme="majorHAnsi" w:eastAsiaTheme="majorEastAsia" w:hAnsiTheme="majorHAnsi" w:cstheme="majorBidi"/>
          <w:b/>
          <w:bCs/>
          <w:color w:val="365F91" w:themeColor="accent1" w:themeShade="BF"/>
          <w:sz w:val="28"/>
          <w:szCs w:val="28"/>
          <w:lang w:val="en-US" w:eastAsia="ja-JP"/>
        </w:rPr>
      </w:pPr>
    </w:p>
    <w:p w14:paraId="2E79AA51" w14:textId="77777777" w:rsidR="00076D9E" w:rsidRPr="00475252" w:rsidRDefault="00076D9E" w:rsidP="00D22E22">
      <w:pPr>
        <w:pStyle w:val="Default"/>
        <w:numPr>
          <w:ilvl w:val="0"/>
          <w:numId w:val="17"/>
        </w:numPr>
        <w:spacing w:line="276" w:lineRule="auto"/>
        <w:jc w:val="both"/>
        <w:rPr>
          <w:rFonts w:asciiTheme="majorHAnsi" w:eastAsiaTheme="majorEastAsia" w:hAnsiTheme="majorHAnsi" w:cstheme="majorBidi"/>
          <w:b/>
          <w:bCs/>
          <w:color w:val="365F91" w:themeColor="accent1" w:themeShade="BF"/>
          <w:sz w:val="28"/>
          <w:szCs w:val="28"/>
          <w:lang w:val="en-US" w:eastAsia="ja-JP"/>
        </w:rPr>
      </w:pPr>
      <w:r w:rsidRPr="00475252">
        <w:rPr>
          <w:rFonts w:asciiTheme="majorHAnsi" w:eastAsiaTheme="majorEastAsia" w:hAnsiTheme="majorHAnsi" w:cstheme="majorBidi"/>
          <w:b/>
          <w:bCs/>
          <w:color w:val="365F91" w:themeColor="accent1" w:themeShade="BF"/>
          <w:sz w:val="28"/>
          <w:szCs w:val="28"/>
          <w:lang w:val="en-US" w:eastAsia="ja-JP"/>
        </w:rPr>
        <w:t>Part II Summary of analysis and conclusions on the quality of execution (art. 3.3 of EU 2017/576)</w:t>
      </w:r>
    </w:p>
    <w:p w14:paraId="0C87BA49" w14:textId="77777777" w:rsidR="00A4314C" w:rsidRDefault="00A4314C" w:rsidP="00D22E22">
      <w:pPr>
        <w:pStyle w:val="Default"/>
        <w:spacing w:line="276" w:lineRule="auto"/>
        <w:jc w:val="both"/>
        <w:rPr>
          <w:sz w:val="22"/>
          <w:szCs w:val="22"/>
        </w:rPr>
      </w:pPr>
    </w:p>
    <w:p w14:paraId="4E023DF9" w14:textId="77777777" w:rsidR="004A7523" w:rsidRPr="00D22E22" w:rsidRDefault="004A7523" w:rsidP="00D22E22">
      <w:pPr>
        <w:pStyle w:val="Default"/>
        <w:spacing w:line="276" w:lineRule="auto"/>
        <w:jc w:val="both"/>
        <w:rPr>
          <w:color w:val="1F497D" w:themeColor="text2"/>
          <w:sz w:val="22"/>
          <w:szCs w:val="22"/>
        </w:rPr>
      </w:pPr>
    </w:p>
    <w:p w14:paraId="47106B89" w14:textId="77777777" w:rsidR="0062481E" w:rsidRPr="00D22E22" w:rsidRDefault="006374A4" w:rsidP="00D22E22">
      <w:pPr>
        <w:pStyle w:val="Paragraphedeliste"/>
        <w:numPr>
          <w:ilvl w:val="0"/>
          <w:numId w:val="3"/>
        </w:numPr>
        <w:spacing w:after="0"/>
        <w:contextualSpacing w:val="0"/>
        <w:jc w:val="both"/>
        <w:rPr>
          <w:rFonts w:ascii="Arial" w:hAnsi="Arial" w:cs="Arial"/>
          <w:color w:val="1F497D" w:themeColor="text2"/>
        </w:rPr>
      </w:pPr>
      <w:r>
        <w:rPr>
          <w:rFonts w:ascii="Arial" w:hAnsi="Arial" w:cs="Arial"/>
          <w:color w:val="1F497D" w:themeColor="text2"/>
        </w:rPr>
        <w:t>E</w:t>
      </w:r>
      <w:r w:rsidR="0062481E" w:rsidRPr="00D22E22">
        <w:rPr>
          <w:rFonts w:ascii="Arial" w:hAnsi="Arial" w:cs="Arial"/>
          <w:color w:val="1F497D" w:themeColor="text2"/>
        </w:rPr>
        <w:t xml:space="preserve">xplanation of the relative importance the firm gave to the execution factors of price, costs, speed, </w:t>
      </w:r>
      <w:r w:rsidR="00767A8E" w:rsidRPr="00D22E22">
        <w:rPr>
          <w:rFonts w:ascii="Arial" w:hAnsi="Arial" w:cs="Arial"/>
          <w:color w:val="1F497D" w:themeColor="text2"/>
        </w:rPr>
        <w:t>and likelihood</w:t>
      </w:r>
      <w:r w:rsidR="0062481E" w:rsidRPr="00D22E22">
        <w:rPr>
          <w:rFonts w:ascii="Arial" w:hAnsi="Arial" w:cs="Arial"/>
          <w:color w:val="1F497D" w:themeColor="text2"/>
        </w:rPr>
        <w:t xml:space="preserve"> of execution or any other consideration including qualitative factors when assessing the quality of execution</w:t>
      </w:r>
      <w:r w:rsidR="00C8652B">
        <w:rPr>
          <w:rFonts w:ascii="Arial" w:hAnsi="Arial" w:cs="Arial"/>
          <w:color w:val="1F497D" w:themeColor="text2"/>
        </w:rPr>
        <w:t>.</w:t>
      </w:r>
    </w:p>
    <w:p w14:paraId="5BFA427B" w14:textId="77777777" w:rsidR="0062481E" w:rsidRPr="00D22E22" w:rsidRDefault="0062481E" w:rsidP="00D22E22">
      <w:pPr>
        <w:pStyle w:val="Paragraphedeliste"/>
        <w:spacing w:after="0"/>
        <w:ind w:left="1080"/>
        <w:contextualSpacing w:val="0"/>
        <w:jc w:val="both"/>
        <w:rPr>
          <w:rFonts w:ascii="Arial" w:hAnsi="Arial" w:cs="Arial"/>
          <w:lang w:val="en-US" w:eastAsia="fr-FR"/>
        </w:rPr>
      </w:pPr>
    </w:p>
    <w:p w14:paraId="2AD54F1D" w14:textId="77777777" w:rsidR="007D0329" w:rsidRDefault="00FC3B9D" w:rsidP="00D22E22">
      <w:pPr>
        <w:pStyle w:val="Default"/>
        <w:spacing w:line="276" w:lineRule="auto"/>
        <w:jc w:val="both"/>
        <w:rPr>
          <w:sz w:val="22"/>
          <w:szCs w:val="22"/>
        </w:rPr>
      </w:pPr>
      <w:r>
        <w:rPr>
          <w:sz w:val="22"/>
          <w:szCs w:val="22"/>
        </w:rPr>
        <w:t xml:space="preserve">As required by MiFID II, </w:t>
      </w:r>
      <w:r w:rsidR="00822F17" w:rsidRPr="00D22E22">
        <w:rPr>
          <w:sz w:val="22"/>
          <w:szCs w:val="22"/>
        </w:rPr>
        <w:t>Credit Agricole Corporate and Investment Bank take</w:t>
      </w:r>
      <w:r>
        <w:rPr>
          <w:sz w:val="22"/>
          <w:szCs w:val="22"/>
        </w:rPr>
        <w:t>s</w:t>
      </w:r>
      <w:r w:rsidR="00822F17" w:rsidRPr="00D22E22">
        <w:rPr>
          <w:sz w:val="22"/>
          <w:szCs w:val="22"/>
        </w:rPr>
        <w:t xml:space="preserve"> all sufficient steps to obtain, when executing orders, the best possible result for </w:t>
      </w:r>
      <w:r w:rsidR="007D0329">
        <w:rPr>
          <w:sz w:val="22"/>
          <w:szCs w:val="22"/>
        </w:rPr>
        <w:t>its</w:t>
      </w:r>
      <w:r w:rsidR="007D0329" w:rsidRPr="00D22E22">
        <w:rPr>
          <w:sz w:val="22"/>
          <w:szCs w:val="22"/>
        </w:rPr>
        <w:t xml:space="preserve"> </w:t>
      </w:r>
      <w:r w:rsidR="00822F17" w:rsidRPr="00D22E22">
        <w:rPr>
          <w:sz w:val="22"/>
          <w:szCs w:val="22"/>
        </w:rPr>
        <w:t>clients taking into account price, costs, speed, likelihood of execution and settlement, size, nature or any other consideration relevant to the execution of the order</w:t>
      </w:r>
      <w:r w:rsidR="003C678B">
        <w:rPr>
          <w:sz w:val="22"/>
          <w:szCs w:val="22"/>
        </w:rPr>
        <w:t xml:space="preserve"> (</w:t>
      </w:r>
      <w:r w:rsidR="007D0329">
        <w:rPr>
          <w:sz w:val="22"/>
          <w:szCs w:val="22"/>
        </w:rPr>
        <w:t xml:space="preserve">the </w:t>
      </w:r>
      <w:r w:rsidR="00E17C95">
        <w:rPr>
          <w:sz w:val="22"/>
          <w:szCs w:val="22"/>
        </w:rPr>
        <w:t>“E</w:t>
      </w:r>
      <w:r w:rsidR="003C678B">
        <w:rPr>
          <w:sz w:val="22"/>
          <w:szCs w:val="22"/>
        </w:rPr>
        <w:t xml:space="preserve">xecution </w:t>
      </w:r>
      <w:r w:rsidR="00E17C95">
        <w:rPr>
          <w:sz w:val="22"/>
          <w:szCs w:val="22"/>
        </w:rPr>
        <w:t>F</w:t>
      </w:r>
      <w:r w:rsidR="003C678B">
        <w:rPr>
          <w:sz w:val="22"/>
          <w:szCs w:val="22"/>
        </w:rPr>
        <w:t>actors</w:t>
      </w:r>
      <w:r w:rsidR="00E17C95">
        <w:rPr>
          <w:sz w:val="22"/>
          <w:szCs w:val="22"/>
        </w:rPr>
        <w:t>”</w:t>
      </w:r>
      <w:r w:rsidR="003C678B">
        <w:rPr>
          <w:sz w:val="22"/>
          <w:szCs w:val="22"/>
        </w:rPr>
        <w:t>)</w:t>
      </w:r>
      <w:r w:rsidR="00822F17" w:rsidRPr="00D22E22">
        <w:rPr>
          <w:sz w:val="22"/>
          <w:szCs w:val="22"/>
        </w:rPr>
        <w:t xml:space="preserve">. </w:t>
      </w:r>
    </w:p>
    <w:p w14:paraId="5448CAA0" w14:textId="77777777" w:rsidR="007D0329" w:rsidRDefault="007D0329" w:rsidP="00D22E22">
      <w:pPr>
        <w:pStyle w:val="Default"/>
        <w:spacing w:line="276" w:lineRule="auto"/>
        <w:jc w:val="both"/>
        <w:rPr>
          <w:sz w:val="22"/>
          <w:szCs w:val="22"/>
        </w:rPr>
      </w:pPr>
    </w:p>
    <w:p w14:paraId="079233B8" w14:textId="77777777" w:rsidR="007D0329" w:rsidRDefault="007D0329" w:rsidP="007D0329">
      <w:pPr>
        <w:pStyle w:val="Default"/>
        <w:spacing w:line="276" w:lineRule="auto"/>
        <w:jc w:val="both"/>
        <w:rPr>
          <w:sz w:val="22"/>
          <w:szCs w:val="22"/>
        </w:rPr>
      </w:pPr>
      <w:r w:rsidRPr="00D22E22">
        <w:rPr>
          <w:color w:val="auto"/>
          <w:sz w:val="22"/>
          <w:szCs w:val="22"/>
        </w:rPr>
        <w:t xml:space="preserve">While price, size, speed and </w:t>
      </w:r>
      <w:r>
        <w:rPr>
          <w:color w:val="auto"/>
          <w:sz w:val="22"/>
          <w:szCs w:val="22"/>
        </w:rPr>
        <w:t>likelihood</w:t>
      </w:r>
      <w:r w:rsidRPr="00D22E22">
        <w:rPr>
          <w:color w:val="auto"/>
          <w:sz w:val="22"/>
          <w:szCs w:val="22"/>
        </w:rPr>
        <w:t xml:space="preserve"> of execution are generally the decisive factors taken into account to obtain the best possible result</w:t>
      </w:r>
      <w:r>
        <w:rPr>
          <w:color w:val="auto"/>
          <w:sz w:val="22"/>
          <w:szCs w:val="22"/>
        </w:rPr>
        <w:t xml:space="preserve"> for clients</w:t>
      </w:r>
      <w:r w:rsidRPr="00D22E22">
        <w:rPr>
          <w:color w:val="auto"/>
          <w:sz w:val="22"/>
          <w:szCs w:val="22"/>
        </w:rPr>
        <w:t xml:space="preserve">, the overall value </w:t>
      </w:r>
      <w:r>
        <w:rPr>
          <w:color w:val="auto"/>
          <w:sz w:val="22"/>
          <w:szCs w:val="22"/>
        </w:rPr>
        <w:t>for</w:t>
      </w:r>
      <w:r w:rsidRPr="00D22E22">
        <w:rPr>
          <w:color w:val="auto"/>
          <w:sz w:val="22"/>
          <w:szCs w:val="22"/>
        </w:rPr>
        <w:t xml:space="preserve"> a client of a </w:t>
      </w:r>
      <w:r w:rsidRPr="00D22E22">
        <w:rPr>
          <w:sz w:val="22"/>
          <w:szCs w:val="22"/>
        </w:rPr>
        <w:t xml:space="preserve">particular transaction may be affected by </w:t>
      </w:r>
      <w:r w:rsidR="00F4202B">
        <w:rPr>
          <w:sz w:val="22"/>
          <w:szCs w:val="22"/>
        </w:rPr>
        <w:t>the other factors outlined above</w:t>
      </w:r>
      <w:r w:rsidR="008100FC">
        <w:rPr>
          <w:sz w:val="22"/>
          <w:szCs w:val="22"/>
        </w:rPr>
        <w:t>.</w:t>
      </w:r>
      <w:r w:rsidRPr="00D22E22">
        <w:rPr>
          <w:sz w:val="22"/>
          <w:szCs w:val="22"/>
        </w:rPr>
        <w:t xml:space="preserve"> The relative importance of each factor is determined by taking into account the following criteria: </w:t>
      </w:r>
    </w:p>
    <w:p w14:paraId="0ED6DA49" w14:textId="77777777" w:rsidR="007D0329" w:rsidRPr="00D22E22" w:rsidRDefault="007D0329" w:rsidP="007D0329">
      <w:pPr>
        <w:pStyle w:val="Default"/>
        <w:spacing w:line="276" w:lineRule="auto"/>
        <w:jc w:val="both"/>
        <w:rPr>
          <w:sz w:val="22"/>
          <w:szCs w:val="22"/>
        </w:rPr>
      </w:pPr>
    </w:p>
    <w:p w14:paraId="6380DE16" w14:textId="77777777" w:rsidR="007D0329" w:rsidRPr="00D22E22" w:rsidRDefault="007D0329" w:rsidP="007D0329">
      <w:pPr>
        <w:pStyle w:val="Default"/>
        <w:numPr>
          <w:ilvl w:val="0"/>
          <w:numId w:val="15"/>
        </w:numPr>
        <w:spacing w:after="30" w:line="276" w:lineRule="auto"/>
        <w:jc w:val="both"/>
        <w:rPr>
          <w:sz w:val="22"/>
          <w:szCs w:val="22"/>
        </w:rPr>
      </w:pPr>
      <w:r w:rsidRPr="00D22E22">
        <w:rPr>
          <w:sz w:val="22"/>
          <w:szCs w:val="22"/>
        </w:rPr>
        <w:t xml:space="preserve">The characteristics of the client, including its classification; </w:t>
      </w:r>
    </w:p>
    <w:p w14:paraId="61D4DB57" w14:textId="77777777" w:rsidR="007D0329" w:rsidRPr="00D22E22" w:rsidRDefault="007D0329" w:rsidP="007D0329">
      <w:pPr>
        <w:pStyle w:val="Default"/>
        <w:numPr>
          <w:ilvl w:val="0"/>
          <w:numId w:val="15"/>
        </w:numPr>
        <w:spacing w:after="30" w:line="276" w:lineRule="auto"/>
        <w:jc w:val="both"/>
        <w:rPr>
          <w:sz w:val="22"/>
          <w:szCs w:val="22"/>
        </w:rPr>
      </w:pPr>
      <w:r w:rsidRPr="00D22E22">
        <w:rPr>
          <w:sz w:val="22"/>
          <w:szCs w:val="22"/>
        </w:rPr>
        <w:t xml:space="preserve">The characteristics of the client order; </w:t>
      </w:r>
    </w:p>
    <w:p w14:paraId="3DEF8148" w14:textId="77777777" w:rsidR="007D0329" w:rsidRPr="00D22E22" w:rsidRDefault="007D0329" w:rsidP="007D0329">
      <w:pPr>
        <w:pStyle w:val="Default"/>
        <w:numPr>
          <w:ilvl w:val="0"/>
          <w:numId w:val="15"/>
        </w:numPr>
        <w:spacing w:after="30" w:line="276" w:lineRule="auto"/>
        <w:jc w:val="both"/>
        <w:rPr>
          <w:sz w:val="22"/>
          <w:szCs w:val="22"/>
        </w:rPr>
      </w:pPr>
      <w:r w:rsidRPr="00D22E22">
        <w:rPr>
          <w:sz w:val="22"/>
          <w:szCs w:val="22"/>
        </w:rPr>
        <w:t xml:space="preserve">The characteristics of the </w:t>
      </w:r>
      <w:r>
        <w:rPr>
          <w:sz w:val="22"/>
          <w:szCs w:val="22"/>
        </w:rPr>
        <w:t>f</w:t>
      </w:r>
      <w:r w:rsidRPr="00D22E22">
        <w:rPr>
          <w:sz w:val="22"/>
          <w:szCs w:val="22"/>
        </w:rPr>
        <w:t xml:space="preserve">inancial </w:t>
      </w:r>
      <w:r>
        <w:rPr>
          <w:sz w:val="22"/>
          <w:szCs w:val="22"/>
        </w:rPr>
        <w:t>i</w:t>
      </w:r>
      <w:r w:rsidRPr="00D22E22">
        <w:rPr>
          <w:sz w:val="22"/>
          <w:szCs w:val="22"/>
        </w:rPr>
        <w:t xml:space="preserve">nstruments concerned by the order; </w:t>
      </w:r>
    </w:p>
    <w:p w14:paraId="283F777B" w14:textId="77777777" w:rsidR="007D0329" w:rsidRDefault="007D0329" w:rsidP="00D22E22">
      <w:pPr>
        <w:pStyle w:val="Default"/>
        <w:spacing w:line="276" w:lineRule="auto"/>
        <w:jc w:val="both"/>
        <w:rPr>
          <w:sz w:val="22"/>
          <w:szCs w:val="22"/>
        </w:rPr>
      </w:pPr>
    </w:p>
    <w:p w14:paraId="25D778BC" w14:textId="77777777" w:rsidR="001D3FCA" w:rsidRDefault="001D3FCA" w:rsidP="001D3FCA">
      <w:pPr>
        <w:autoSpaceDE w:val="0"/>
        <w:autoSpaceDN w:val="0"/>
        <w:adjustRightInd w:val="0"/>
        <w:spacing w:after="0"/>
        <w:jc w:val="both"/>
        <w:rPr>
          <w:rFonts w:ascii="Arial" w:hAnsi="Arial" w:cs="Arial"/>
          <w:color w:val="000000"/>
        </w:rPr>
      </w:pPr>
      <w:r>
        <w:rPr>
          <w:rFonts w:ascii="Arial" w:hAnsi="Arial" w:cs="Arial"/>
          <w:color w:val="000000"/>
        </w:rPr>
        <w:t>However, it is important to note that a</w:t>
      </w:r>
      <w:r w:rsidRPr="00D67845">
        <w:rPr>
          <w:rFonts w:ascii="Arial" w:hAnsi="Arial" w:cs="Arial"/>
          <w:color w:val="000000"/>
        </w:rPr>
        <w:t xml:space="preserve"> client can give specific instructions as to how they wish their order to be executed. Should a client give </w:t>
      </w:r>
      <w:r w:rsidR="00C147CC">
        <w:rPr>
          <w:rFonts w:ascii="Arial" w:hAnsi="Arial" w:cs="Arial"/>
          <w:color w:val="000000"/>
        </w:rPr>
        <w:t xml:space="preserve">order </w:t>
      </w:r>
      <w:r w:rsidRPr="00D67845">
        <w:rPr>
          <w:rFonts w:ascii="Arial" w:hAnsi="Arial" w:cs="Arial"/>
          <w:color w:val="000000"/>
        </w:rPr>
        <w:t xml:space="preserve">specific instructions, Credit Agricole </w:t>
      </w:r>
      <w:r w:rsidRPr="00D67845">
        <w:rPr>
          <w:rFonts w:ascii="Arial" w:hAnsi="Arial" w:cs="Arial"/>
          <w:color w:val="000000"/>
        </w:rPr>
        <w:lastRenderedPageBreak/>
        <w:t>Corporate and Investment Bank</w:t>
      </w:r>
      <w:r w:rsidR="00C147CC">
        <w:rPr>
          <w:rFonts w:ascii="Arial" w:hAnsi="Arial" w:cs="Arial"/>
          <w:color w:val="000000"/>
        </w:rPr>
        <w:t xml:space="preserve"> will </w:t>
      </w:r>
      <w:r w:rsidRPr="00D67845">
        <w:rPr>
          <w:rFonts w:ascii="Arial" w:hAnsi="Arial" w:cs="Arial"/>
          <w:color w:val="000000"/>
        </w:rPr>
        <w:t xml:space="preserve">meet its </w:t>
      </w:r>
      <w:r>
        <w:rPr>
          <w:rFonts w:ascii="Arial" w:hAnsi="Arial" w:cs="Arial"/>
          <w:color w:val="000000"/>
        </w:rPr>
        <w:t>b</w:t>
      </w:r>
      <w:r w:rsidRPr="00D67845">
        <w:rPr>
          <w:rFonts w:ascii="Arial" w:hAnsi="Arial" w:cs="Arial"/>
          <w:color w:val="000000"/>
        </w:rPr>
        <w:t xml:space="preserve">est </w:t>
      </w:r>
      <w:r>
        <w:rPr>
          <w:rFonts w:ascii="Arial" w:hAnsi="Arial" w:cs="Arial"/>
          <w:color w:val="000000"/>
        </w:rPr>
        <w:t>e</w:t>
      </w:r>
      <w:r w:rsidRPr="00D67845">
        <w:rPr>
          <w:rFonts w:ascii="Arial" w:hAnsi="Arial" w:cs="Arial"/>
          <w:color w:val="000000"/>
        </w:rPr>
        <w:t xml:space="preserve">xecution obligation as long as the order, or a specific aspect of the order, is </w:t>
      </w:r>
      <w:r w:rsidR="00902701" w:rsidRPr="00D67845">
        <w:rPr>
          <w:rFonts w:ascii="Arial" w:hAnsi="Arial" w:cs="Arial"/>
          <w:color w:val="000000"/>
        </w:rPr>
        <w:t>executed</w:t>
      </w:r>
      <w:r w:rsidR="00902701">
        <w:rPr>
          <w:rFonts w:ascii="Arial" w:hAnsi="Arial" w:cs="Arial"/>
          <w:color w:val="000000"/>
        </w:rPr>
        <w:t xml:space="preserve"> </w:t>
      </w:r>
      <w:r w:rsidR="00902701" w:rsidRPr="00D67845">
        <w:rPr>
          <w:rFonts w:ascii="Arial" w:hAnsi="Arial" w:cs="Arial"/>
          <w:color w:val="000000"/>
        </w:rPr>
        <w:t>following</w:t>
      </w:r>
      <w:r w:rsidRPr="00D67845">
        <w:rPr>
          <w:rFonts w:ascii="Arial" w:hAnsi="Arial" w:cs="Arial"/>
          <w:color w:val="000000"/>
        </w:rPr>
        <w:t xml:space="preserve"> </w:t>
      </w:r>
      <w:r w:rsidR="00902701" w:rsidRPr="00D67845">
        <w:rPr>
          <w:rFonts w:ascii="Arial" w:hAnsi="Arial" w:cs="Arial"/>
          <w:color w:val="000000"/>
        </w:rPr>
        <w:t>the instructions</w:t>
      </w:r>
      <w:r w:rsidRPr="00D67845">
        <w:rPr>
          <w:rFonts w:ascii="Arial" w:hAnsi="Arial" w:cs="Arial"/>
          <w:color w:val="000000"/>
        </w:rPr>
        <w:t xml:space="preserve"> given by the client. </w:t>
      </w:r>
    </w:p>
    <w:p w14:paraId="563F8FF9" w14:textId="77777777" w:rsidR="007D0329" w:rsidRDefault="007D0329" w:rsidP="00D22E22">
      <w:pPr>
        <w:pStyle w:val="Default"/>
        <w:spacing w:line="276" w:lineRule="auto"/>
        <w:jc w:val="both"/>
        <w:rPr>
          <w:sz w:val="22"/>
          <w:szCs w:val="22"/>
        </w:rPr>
      </w:pPr>
    </w:p>
    <w:p w14:paraId="5F832ED4" w14:textId="77777777" w:rsidR="00822F17" w:rsidRPr="00D22E22" w:rsidRDefault="00822F17" w:rsidP="00D22E22">
      <w:pPr>
        <w:pStyle w:val="Default"/>
        <w:spacing w:line="276" w:lineRule="auto"/>
        <w:jc w:val="both"/>
        <w:rPr>
          <w:sz w:val="22"/>
          <w:szCs w:val="22"/>
        </w:rPr>
      </w:pPr>
      <w:r w:rsidRPr="00D22E22">
        <w:rPr>
          <w:sz w:val="22"/>
          <w:szCs w:val="22"/>
        </w:rPr>
        <w:t xml:space="preserve">When Credit Agricole Corporate and Investment Bank executes an order on behalf of a </w:t>
      </w:r>
      <w:r w:rsidR="00E17C95">
        <w:rPr>
          <w:sz w:val="22"/>
          <w:szCs w:val="22"/>
        </w:rPr>
        <w:t>R</w:t>
      </w:r>
      <w:r w:rsidRPr="00D22E22">
        <w:rPr>
          <w:sz w:val="22"/>
          <w:szCs w:val="22"/>
        </w:rPr>
        <w:t xml:space="preserve">etail </w:t>
      </w:r>
      <w:r w:rsidR="00E17C95">
        <w:rPr>
          <w:sz w:val="22"/>
          <w:szCs w:val="22"/>
        </w:rPr>
        <w:t>C</w:t>
      </w:r>
      <w:r w:rsidRPr="00D22E22">
        <w:rPr>
          <w:sz w:val="22"/>
          <w:szCs w:val="22"/>
        </w:rPr>
        <w:t>lient, the best possible result shall be determined in terms of total consideration</w:t>
      </w:r>
      <w:r w:rsidR="009345B0">
        <w:rPr>
          <w:sz w:val="22"/>
          <w:szCs w:val="22"/>
        </w:rPr>
        <w:t xml:space="preserve"> of </w:t>
      </w:r>
      <w:r w:rsidRPr="00D22E22">
        <w:rPr>
          <w:sz w:val="22"/>
          <w:szCs w:val="22"/>
        </w:rPr>
        <w:t xml:space="preserve">the price of the </w:t>
      </w:r>
      <w:r w:rsidR="007D0329">
        <w:rPr>
          <w:sz w:val="22"/>
          <w:szCs w:val="22"/>
        </w:rPr>
        <w:t>f</w:t>
      </w:r>
      <w:r w:rsidR="007D0329" w:rsidRPr="00D22E22">
        <w:rPr>
          <w:sz w:val="22"/>
          <w:szCs w:val="22"/>
        </w:rPr>
        <w:t xml:space="preserve">inancial </w:t>
      </w:r>
      <w:r w:rsidR="007D0329">
        <w:rPr>
          <w:sz w:val="22"/>
          <w:szCs w:val="22"/>
        </w:rPr>
        <w:t>i</w:t>
      </w:r>
      <w:r w:rsidR="007D0329" w:rsidRPr="00D22E22">
        <w:rPr>
          <w:sz w:val="22"/>
          <w:szCs w:val="22"/>
        </w:rPr>
        <w:t>nstrument</w:t>
      </w:r>
      <w:r w:rsidRPr="00D22E22">
        <w:rPr>
          <w:sz w:val="22"/>
          <w:szCs w:val="22"/>
        </w:rPr>
        <w:t xml:space="preserve"> and the costs relating to execution</w:t>
      </w:r>
      <w:r w:rsidR="009345B0">
        <w:rPr>
          <w:sz w:val="22"/>
          <w:szCs w:val="22"/>
        </w:rPr>
        <w:t>. The latter</w:t>
      </w:r>
      <w:r w:rsidRPr="00D22E22">
        <w:rPr>
          <w:sz w:val="22"/>
          <w:szCs w:val="22"/>
        </w:rPr>
        <w:t xml:space="preserve"> shall include all </w:t>
      </w:r>
      <w:r w:rsidR="00C147CC">
        <w:rPr>
          <w:sz w:val="22"/>
          <w:szCs w:val="22"/>
        </w:rPr>
        <w:t xml:space="preserve">direct </w:t>
      </w:r>
      <w:r w:rsidRPr="00D22E22">
        <w:rPr>
          <w:sz w:val="22"/>
          <w:szCs w:val="22"/>
        </w:rPr>
        <w:t xml:space="preserve">expenses incurred by the client </w:t>
      </w:r>
      <w:r w:rsidR="00902701" w:rsidRPr="00D22E22">
        <w:rPr>
          <w:sz w:val="22"/>
          <w:szCs w:val="22"/>
        </w:rPr>
        <w:t>which directly</w:t>
      </w:r>
      <w:r w:rsidR="00FC3B9D">
        <w:rPr>
          <w:sz w:val="22"/>
          <w:szCs w:val="22"/>
        </w:rPr>
        <w:t xml:space="preserve"> </w:t>
      </w:r>
      <w:r w:rsidR="00902701">
        <w:rPr>
          <w:sz w:val="22"/>
          <w:szCs w:val="22"/>
        </w:rPr>
        <w:t xml:space="preserve">relate </w:t>
      </w:r>
      <w:r w:rsidR="00902701" w:rsidRPr="00D22E22">
        <w:rPr>
          <w:sz w:val="22"/>
          <w:szCs w:val="22"/>
        </w:rPr>
        <w:t>to</w:t>
      </w:r>
      <w:r w:rsidRPr="00D22E22">
        <w:rPr>
          <w:sz w:val="22"/>
          <w:szCs w:val="22"/>
        </w:rPr>
        <w:t xml:space="preserve"> the execution of the order, </w:t>
      </w:r>
      <w:r w:rsidR="00C147CC">
        <w:rPr>
          <w:sz w:val="22"/>
          <w:szCs w:val="22"/>
        </w:rPr>
        <w:t xml:space="preserve">such </w:t>
      </w:r>
      <w:r w:rsidR="00902701">
        <w:rPr>
          <w:sz w:val="22"/>
          <w:szCs w:val="22"/>
        </w:rPr>
        <w:t xml:space="preserve">as </w:t>
      </w:r>
      <w:r w:rsidR="00902701" w:rsidRPr="00D22E22">
        <w:rPr>
          <w:sz w:val="22"/>
          <w:szCs w:val="22"/>
        </w:rPr>
        <w:t>execution</w:t>
      </w:r>
      <w:r w:rsidRPr="00D22E22">
        <w:rPr>
          <w:sz w:val="22"/>
          <w:szCs w:val="22"/>
        </w:rPr>
        <w:t xml:space="preserve"> venue fees, clearing and settlement fees and any other fees paid to third parties involved in the execution of the order</w:t>
      </w:r>
      <w:r w:rsidR="007D0329">
        <w:rPr>
          <w:sz w:val="22"/>
          <w:szCs w:val="22"/>
        </w:rPr>
        <w:t>.</w:t>
      </w:r>
    </w:p>
    <w:p w14:paraId="46A86005" w14:textId="77777777" w:rsidR="00822F17" w:rsidRPr="00D22E22" w:rsidRDefault="00822F17" w:rsidP="00D22E22">
      <w:pPr>
        <w:pStyle w:val="Default"/>
        <w:spacing w:line="276" w:lineRule="auto"/>
        <w:jc w:val="both"/>
        <w:rPr>
          <w:sz w:val="22"/>
          <w:szCs w:val="22"/>
        </w:rPr>
      </w:pPr>
    </w:p>
    <w:p w14:paraId="447873F6" w14:textId="77777777" w:rsidR="00F62C6F" w:rsidRPr="009341D6" w:rsidRDefault="005001DD" w:rsidP="009341D6">
      <w:pPr>
        <w:autoSpaceDE w:val="0"/>
        <w:autoSpaceDN w:val="0"/>
        <w:adjustRightInd w:val="0"/>
        <w:spacing w:after="0"/>
        <w:jc w:val="both"/>
        <w:rPr>
          <w:rFonts w:ascii="Arial" w:hAnsi="Arial" w:cs="Arial"/>
          <w:color w:val="000000"/>
        </w:rPr>
      </w:pPr>
      <w:r w:rsidRPr="009341D6">
        <w:rPr>
          <w:rFonts w:ascii="Arial" w:hAnsi="Arial" w:cs="Arial"/>
          <w:color w:val="000000"/>
        </w:rPr>
        <w:t xml:space="preserve">On any given order, circumstances may indicate that any particular Execution Factor may </w:t>
      </w:r>
      <w:r w:rsidR="007D0329" w:rsidRPr="009341D6">
        <w:rPr>
          <w:rFonts w:ascii="Arial" w:hAnsi="Arial" w:cs="Arial"/>
          <w:color w:val="000000"/>
        </w:rPr>
        <w:t xml:space="preserve">play </w:t>
      </w:r>
      <w:r w:rsidRPr="009341D6">
        <w:rPr>
          <w:rFonts w:ascii="Arial" w:hAnsi="Arial" w:cs="Arial"/>
          <w:color w:val="000000"/>
        </w:rPr>
        <w:t xml:space="preserve">a greater or lesser </w:t>
      </w:r>
      <w:r w:rsidR="00E17C95" w:rsidRPr="009341D6">
        <w:rPr>
          <w:rFonts w:ascii="Arial" w:hAnsi="Arial" w:cs="Arial"/>
          <w:color w:val="000000"/>
        </w:rPr>
        <w:t>role i</w:t>
      </w:r>
      <w:r w:rsidRPr="009341D6">
        <w:rPr>
          <w:rFonts w:ascii="Arial" w:hAnsi="Arial" w:cs="Arial"/>
          <w:color w:val="000000"/>
        </w:rPr>
        <w:t xml:space="preserve">n achieving </w:t>
      </w:r>
      <w:r w:rsidR="00E17C95" w:rsidRPr="009341D6">
        <w:rPr>
          <w:rFonts w:ascii="Arial" w:hAnsi="Arial" w:cs="Arial"/>
          <w:color w:val="000000"/>
        </w:rPr>
        <w:t>best execution</w:t>
      </w:r>
      <w:r w:rsidRPr="009341D6">
        <w:rPr>
          <w:rFonts w:ascii="Arial" w:hAnsi="Arial" w:cs="Arial"/>
          <w:color w:val="000000"/>
        </w:rPr>
        <w:t xml:space="preserve">. </w:t>
      </w:r>
      <w:r w:rsidR="00E17C95" w:rsidRPr="009341D6">
        <w:rPr>
          <w:rFonts w:ascii="Arial" w:hAnsi="Arial" w:cs="Arial"/>
          <w:color w:val="000000"/>
        </w:rPr>
        <w:t>We s</w:t>
      </w:r>
      <w:r w:rsidRPr="009341D6">
        <w:rPr>
          <w:rFonts w:ascii="Arial" w:hAnsi="Arial" w:cs="Arial"/>
          <w:color w:val="000000"/>
        </w:rPr>
        <w:t xml:space="preserve">et out </w:t>
      </w:r>
      <w:r w:rsidR="00E17C95" w:rsidRPr="009341D6">
        <w:rPr>
          <w:rFonts w:ascii="Arial" w:hAnsi="Arial" w:cs="Arial"/>
          <w:color w:val="000000"/>
        </w:rPr>
        <w:t xml:space="preserve">in the table </w:t>
      </w:r>
      <w:r w:rsidRPr="009341D6">
        <w:rPr>
          <w:rFonts w:ascii="Arial" w:hAnsi="Arial" w:cs="Arial"/>
          <w:color w:val="000000"/>
        </w:rPr>
        <w:t xml:space="preserve">below the different priorities we apply in normal market </w:t>
      </w:r>
      <w:r w:rsidR="00E17C95" w:rsidRPr="009341D6">
        <w:rPr>
          <w:rFonts w:ascii="Arial" w:hAnsi="Arial" w:cs="Arial"/>
          <w:color w:val="000000"/>
        </w:rPr>
        <w:t xml:space="preserve">and liquidity </w:t>
      </w:r>
      <w:r w:rsidRPr="009341D6">
        <w:rPr>
          <w:rFonts w:ascii="Arial" w:hAnsi="Arial" w:cs="Arial"/>
          <w:color w:val="000000"/>
        </w:rPr>
        <w:t xml:space="preserve">conditions </w:t>
      </w:r>
      <w:r w:rsidR="00E17C95" w:rsidRPr="009341D6">
        <w:rPr>
          <w:rFonts w:ascii="Arial" w:hAnsi="Arial" w:cs="Arial"/>
          <w:color w:val="000000"/>
        </w:rPr>
        <w:t>when executing client orders</w:t>
      </w:r>
      <w:r w:rsidRPr="009341D6">
        <w:rPr>
          <w:rFonts w:ascii="Arial" w:hAnsi="Arial" w:cs="Arial"/>
          <w:color w:val="000000"/>
        </w:rPr>
        <w:t xml:space="preserve">. </w:t>
      </w:r>
    </w:p>
    <w:p w14:paraId="5C057D88" w14:textId="77777777" w:rsidR="0011184C" w:rsidRPr="009341D6" w:rsidRDefault="0011184C" w:rsidP="009341D6">
      <w:pPr>
        <w:autoSpaceDE w:val="0"/>
        <w:autoSpaceDN w:val="0"/>
        <w:adjustRightInd w:val="0"/>
        <w:spacing w:after="0"/>
        <w:jc w:val="both"/>
        <w:rPr>
          <w:rFonts w:ascii="Arial" w:hAnsi="Arial" w:cs="Arial"/>
          <w:color w:val="000000"/>
        </w:rPr>
      </w:pPr>
    </w:p>
    <w:p w14:paraId="59ADAA17" w14:textId="77777777" w:rsidR="002F74E6" w:rsidRDefault="002F74E6" w:rsidP="009341D6">
      <w:pPr>
        <w:autoSpaceDE w:val="0"/>
        <w:autoSpaceDN w:val="0"/>
        <w:adjustRightInd w:val="0"/>
        <w:spacing w:after="0"/>
        <w:jc w:val="both"/>
        <w:rPr>
          <w:rFonts w:ascii="Arial" w:hAnsi="Arial" w:cs="Arial"/>
          <w:color w:val="000000"/>
        </w:rPr>
      </w:pPr>
      <w:r w:rsidRPr="009341D6">
        <w:rPr>
          <w:rFonts w:ascii="Arial" w:hAnsi="Arial" w:cs="Arial"/>
          <w:color w:val="000000"/>
        </w:rPr>
        <w:t xml:space="preserve">Credit Agricole Corporate and Investment Bank has implemented an internal governance and control framework in order to review and monitor its best execution arrangements on a regular basis and upon material change. Where best execution is owed, Credit Agricole Corporate and Investment Bank will </w:t>
      </w:r>
      <w:r w:rsidR="00A370F5">
        <w:rPr>
          <w:rFonts w:ascii="Arial" w:hAnsi="Arial" w:cs="Arial"/>
          <w:color w:val="000000"/>
        </w:rPr>
        <w:t>use</w:t>
      </w:r>
      <w:r w:rsidRPr="009341D6">
        <w:rPr>
          <w:rFonts w:ascii="Arial" w:hAnsi="Arial" w:cs="Arial"/>
          <w:color w:val="000000"/>
        </w:rPr>
        <w:t xml:space="preserve"> all </w:t>
      </w:r>
      <w:r w:rsidR="00D759E4">
        <w:rPr>
          <w:rFonts w:ascii="Arial" w:hAnsi="Arial" w:cs="Arial"/>
          <w:color w:val="000000"/>
        </w:rPr>
        <w:t xml:space="preserve">available </w:t>
      </w:r>
      <w:r w:rsidR="00902701" w:rsidRPr="009341D6">
        <w:rPr>
          <w:rFonts w:ascii="Arial" w:hAnsi="Arial" w:cs="Arial"/>
          <w:color w:val="000000"/>
        </w:rPr>
        <w:t>means to justify</w:t>
      </w:r>
      <w:r w:rsidRPr="009341D6">
        <w:rPr>
          <w:rFonts w:ascii="Arial" w:hAnsi="Arial" w:cs="Arial"/>
          <w:color w:val="000000"/>
        </w:rPr>
        <w:t xml:space="preserve"> best execution of its client orders. </w:t>
      </w:r>
    </w:p>
    <w:p w14:paraId="76630C78" w14:textId="77777777" w:rsidR="00D759E4" w:rsidRDefault="00D759E4" w:rsidP="009341D6">
      <w:pPr>
        <w:autoSpaceDE w:val="0"/>
        <w:autoSpaceDN w:val="0"/>
        <w:adjustRightInd w:val="0"/>
        <w:spacing w:after="0"/>
        <w:jc w:val="both"/>
        <w:rPr>
          <w:rFonts w:ascii="Arial" w:hAnsi="Arial" w:cs="Arial"/>
          <w:color w:val="000000"/>
        </w:rPr>
      </w:pPr>
    </w:p>
    <w:p w14:paraId="50E248CF" w14:textId="77777777" w:rsidR="00D759E4" w:rsidRDefault="00D759E4" w:rsidP="009341D6">
      <w:pPr>
        <w:autoSpaceDE w:val="0"/>
        <w:autoSpaceDN w:val="0"/>
        <w:adjustRightInd w:val="0"/>
        <w:spacing w:after="0"/>
        <w:jc w:val="both"/>
        <w:rPr>
          <w:rFonts w:ascii="Arial" w:hAnsi="Arial" w:cs="Arial"/>
          <w:color w:val="000000"/>
        </w:rPr>
      </w:pPr>
    </w:p>
    <w:p w14:paraId="141018B9" w14:textId="77777777" w:rsidR="00D759E4" w:rsidRDefault="00D759E4" w:rsidP="009341D6">
      <w:pPr>
        <w:autoSpaceDE w:val="0"/>
        <w:autoSpaceDN w:val="0"/>
        <w:adjustRightInd w:val="0"/>
        <w:spacing w:after="0"/>
        <w:jc w:val="both"/>
        <w:rPr>
          <w:rFonts w:ascii="Arial" w:hAnsi="Arial" w:cs="Arial"/>
          <w:color w:val="000000"/>
        </w:rPr>
      </w:pPr>
    </w:p>
    <w:p w14:paraId="3B49AA75" w14:textId="77777777" w:rsidR="00D759E4" w:rsidRDefault="00D759E4" w:rsidP="009341D6">
      <w:pPr>
        <w:autoSpaceDE w:val="0"/>
        <w:autoSpaceDN w:val="0"/>
        <w:adjustRightInd w:val="0"/>
        <w:spacing w:after="0"/>
        <w:jc w:val="both"/>
        <w:rPr>
          <w:rFonts w:ascii="Arial" w:hAnsi="Arial" w:cs="Arial"/>
          <w:color w:val="000000"/>
        </w:rPr>
      </w:pPr>
    </w:p>
    <w:p w14:paraId="291EE550" w14:textId="77777777" w:rsidR="00A169DF" w:rsidRDefault="00A169DF">
      <w:pPr>
        <w:rPr>
          <w:rFonts w:ascii="Arial" w:hAnsi="Arial" w:cs="Arial"/>
          <w:color w:val="000000"/>
          <w:u w:val="single"/>
        </w:rPr>
      </w:pPr>
      <w:r>
        <w:rPr>
          <w:rFonts w:ascii="Arial" w:hAnsi="Arial" w:cs="Arial"/>
          <w:color w:val="000000"/>
          <w:u w:val="single"/>
        </w:rPr>
        <w:br w:type="page"/>
      </w:r>
    </w:p>
    <w:p w14:paraId="022A0B81" w14:textId="182D9E4E" w:rsidR="00D759E4" w:rsidRPr="00902701" w:rsidRDefault="00902701" w:rsidP="00902701">
      <w:pPr>
        <w:autoSpaceDE w:val="0"/>
        <w:autoSpaceDN w:val="0"/>
        <w:adjustRightInd w:val="0"/>
        <w:spacing w:after="0"/>
        <w:jc w:val="center"/>
        <w:rPr>
          <w:rFonts w:ascii="Arial" w:hAnsi="Arial" w:cs="Arial"/>
          <w:color w:val="000000"/>
          <w:u w:val="single"/>
        </w:rPr>
      </w:pPr>
      <w:bookmarkStart w:id="0" w:name="_GoBack"/>
      <w:bookmarkEnd w:id="0"/>
      <w:r w:rsidRPr="00902701">
        <w:rPr>
          <w:rFonts w:ascii="Arial" w:hAnsi="Arial" w:cs="Arial"/>
          <w:color w:val="000000"/>
          <w:u w:val="single"/>
        </w:rPr>
        <w:lastRenderedPageBreak/>
        <w:t xml:space="preserve">Classification of order execution factors by importance </w:t>
      </w:r>
      <w:r w:rsidRPr="00902701">
        <w:rPr>
          <w:rFonts w:ascii="Arial" w:hAnsi="Arial" w:cs="Arial"/>
          <w:color w:val="000000"/>
          <w:sz w:val="20"/>
          <w:u w:val="single"/>
        </w:rPr>
        <w:t>(1 is the most important factor)</w:t>
      </w:r>
    </w:p>
    <w:p w14:paraId="2207FE5A" w14:textId="77777777" w:rsidR="00D759E4" w:rsidRDefault="00D759E4" w:rsidP="009341D6">
      <w:pPr>
        <w:autoSpaceDE w:val="0"/>
        <w:autoSpaceDN w:val="0"/>
        <w:adjustRightInd w:val="0"/>
        <w:spacing w:after="0"/>
        <w:jc w:val="both"/>
        <w:rPr>
          <w:rFonts w:ascii="Arial" w:hAnsi="Arial" w:cs="Arial"/>
          <w:color w:val="000000"/>
        </w:rPr>
      </w:pPr>
    </w:p>
    <w:tbl>
      <w:tblPr>
        <w:tblW w:w="8508" w:type="dxa"/>
        <w:tblCellMar>
          <w:left w:w="70" w:type="dxa"/>
          <w:right w:w="70" w:type="dxa"/>
        </w:tblCellMar>
        <w:tblLook w:val="04A0" w:firstRow="1" w:lastRow="0" w:firstColumn="1" w:lastColumn="0" w:noHBand="0" w:noVBand="1"/>
      </w:tblPr>
      <w:tblGrid>
        <w:gridCol w:w="2410"/>
        <w:gridCol w:w="992"/>
        <w:gridCol w:w="851"/>
        <w:gridCol w:w="1134"/>
        <w:gridCol w:w="995"/>
        <w:gridCol w:w="851"/>
        <w:gridCol w:w="567"/>
        <w:gridCol w:w="708"/>
      </w:tblGrid>
      <w:tr w:rsidR="00B41B29" w:rsidRPr="00ED46E3" w14:paraId="1DB68055" w14:textId="77777777" w:rsidTr="00B41B29">
        <w:trPr>
          <w:trHeight w:val="360"/>
        </w:trPr>
        <w:tc>
          <w:tcPr>
            <w:tcW w:w="2410" w:type="dxa"/>
            <w:vMerge w:val="restart"/>
            <w:tcBorders>
              <w:top w:val="nil"/>
              <w:left w:val="nil"/>
              <w:bottom w:val="nil"/>
              <w:right w:val="nil"/>
            </w:tcBorders>
            <w:shd w:val="clear" w:color="000000" w:fill="538DD5"/>
            <w:vAlign w:val="center"/>
            <w:hideMark/>
          </w:tcPr>
          <w:p w14:paraId="0FBD63A3" w14:textId="77777777" w:rsidR="00ED46E3" w:rsidRPr="00ED46E3" w:rsidRDefault="00ED46E3" w:rsidP="00ED46E3">
            <w:pPr>
              <w:spacing w:after="0" w:line="240" w:lineRule="auto"/>
              <w:jc w:val="center"/>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Product</w:t>
            </w:r>
          </w:p>
        </w:tc>
        <w:tc>
          <w:tcPr>
            <w:tcW w:w="992" w:type="dxa"/>
            <w:vMerge w:val="restart"/>
            <w:tcBorders>
              <w:top w:val="nil"/>
              <w:left w:val="nil"/>
              <w:bottom w:val="nil"/>
              <w:right w:val="nil"/>
            </w:tcBorders>
            <w:shd w:val="clear" w:color="000000" w:fill="538DD5"/>
            <w:vAlign w:val="center"/>
            <w:hideMark/>
          </w:tcPr>
          <w:p w14:paraId="6FA419A3" w14:textId="77777777" w:rsidR="00ED46E3" w:rsidRPr="00ED46E3" w:rsidRDefault="00ED46E3" w:rsidP="00ED46E3">
            <w:pPr>
              <w:spacing w:after="0" w:line="240" w:lineRule="auto"/>
              <w:jc w:val="center"/>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Price</w:t>
            </w:r>
          </w:p>
        </w:tc>
        <w:tc>
          <w:tcPr>
            <w:tcW w:w="851" w:type="dxa"/>
            <w:vMerge w:val="restart"/>
            <w:tcBorders>
              <w:top w:val="nil"/>
              <w:left w:val="nil"/>
              <w:bottom w:val="nil"/>
              <w:right w:val="nil"/>
            </w:tcBorders>
            <w:shd w:val="clear" w:color="000000" w:fill="538DD5"/>
            <w:vAlign w:val="center"/>
            <w:hideMark/>
          </w:tcPr>
          <w:p w14:paraId="05786F9D" w14:textId="77777777" w:rsidR="00ED46E3" w:rsidRPr="00ED46E3" w:rsidRDefault="00ED46E3" w:rsidP="00ED46E3">
            <w:pPr>
              <w:spacing w:after="0" w:line="240" w:lineRule="auto"/>
              <w:jc w:val="center"/>
              <w:rPr>
                <w:rFonts w:ascii="Arial" w:eastAsia="Times New Roman" w:hAnsi="Arial" w:cs="Arial"/>
                <w:b/>
                <w:bCs/>
                <w:color w:val="FFFFFF"/>
                <w:sz w:val="16"/>
                <w:szCs w:val="16"/>
                <w:lang w:val="fr-FR" w:eastAsia="ja-JP"/>
              </w:rPr>
            </w:pPr>
            <w:proofErr w:type="spellStart"/>
            <w:r w:rsidRPr="00ED46E3">
              <w:rPr>
                <w:rFonts w:ascii="Arial" w:eastAsia="Times New Roman" w:hAnsi="Arial" w:cs="Arial"/>
                <w:b/>
                <w:bCs/>
                <w:color w:val="FFFFFF"/>
                <w:sz w:val="16"/>
                <w:szCs w:val="16"/>
                <w:lang w:val="fr-FR" w:eastAsia="ja-JP"/>
              </w:rPr>
              <w:t>Cost</w:t>
            </w:r>
            <w:proofErr w:type="spellEnd"/>
          </w:p>
        </w:tc>
        <w:tc>
          <w:tcPr>
            <w:tcW w:w="1134" w:type="dxa"/>
            <w:vMerge w:val="restart"/>
            <w:tcBorders>
              <w:top w:val="nil"/>
              <w:left w:val="nil"/>
              <w:bottom w:val="nil"/>
              <w:right w:val="nil"/>
            </w:tcBorders>
            <w:shd w:val="clear" w:color="000000" w:fill="538DD5"/>
            <w:vAlign w:val="center"/>
            <w:hideMark/>
          </w:tcPr>
          <w:p w14:paraId="785E9500" w14:textId="77777777" w:rsidR="00ED46E3" w:rsidRPr="00ED46E3" w:rsidRDefault="00ED46E3" w:rsidP="00ED46E3">
            <w:pPr>
              <w:spacing w:after="0" w:line="240" w:lineRule="auto"/>
              <w:jc w:val="center"/>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xml:space="preserve">Speed of </w:t>
            </w:r>
            <w:proofErr w:type="spellStart"/>
            <w:r w:rsidRPr="00ED46E3">
              <w:rPr>
                <w:rFonts w:ascii="Arial" w:eastAsia="Times New Roman" w:hAnsi="Arial" w:cs="Arial"/>
                <w:b/>
                <w:bCs/>
                <w:color w:val="FFFFFF"/>
                <w:sz w:val="16"/>
                <w:szCs w:val="16"/>
                <w:lang w:val="fr-FR" w:eastAsia="ja-JP"/>
              </w:rPr>
              <w:t>execution</w:t>
            </w:r>
            <w:proofErr w:type="spellEnd"/>
          </w:p>
        </w:tc>
        <w:tc>
          <w:tcPr>
            <w:tcW w:w="995" w:type="dxa"/>
            <w:vMerge w:val="restart"/>
            <w:tcBorders>
              <w:top w:val="nil"/>
              <w:left w:val="nil"/>
              <w:bottom w:val="nil"/>
              <w:right w:val="nil"/>
            </w:tcBorders>
            <w:shd w:val="clear" w:color="000000" w:fill="538DD5"/>
            <w:vAlign w:val="center"/>
            <w:hideMark/>
          </w:tcPr>
          <w:p w14:paraId="5F871F54" w14:textId="77777777" w:rsidR="00ED46E3" w:rsidRPr="00ED46E3" w:rsidRDefault="00ED46E3" w:rsidP="00ED46E3">
            <w:pPr>
              <w:spacing w:after="0" w:line="240" w:lineRule="auto"/>
              <w:jc w:val="center"/>
              <w:rPr>
                <w:rFonts w:ascii="Arial" w:eastAsia="Times New Roman" w:hAnsi="Arial" w:cs="Arial"/>
                <w:b/>
                <w:bCs/>
                <w:color w:val="FFFFFF"/>
                <w:sz w:val="16"/>
                <w:szCs w:val="16"/>
                <w:lang w:val="fr-FR" w:eastAsia="ja-JP"/>
              </w:rPr>
            </w:pPr>
            <w:proofErr w:type="spellStart"/>
            <w:r w:rsidRPr="00ED46E3">
              <w:rPr>
                <w:rFonts w:ascii="Arial" w:eastAsia="Times New Roman" w:hAnsi="Arial" w:cs="Arial"/>
                <w:b/>
                <w:bCs/>
                <w:color w:val="FFFFFF"/>
                <w:sz w:val="16"/>
                <w:szCs w:val="16"/>
                <w:lang w:val="fr-FR" w:eastAsia="ja-JP"/>
              </w:rPr>
              <w:t>Likelihood</w:t>
            </w:r>
            <w:proofErr w:type="spellEnd"/>
          </w:p>
        </w:tc>
        <w:tc>
          <w:tcPr>
            <w:tcW w:w="1418" w:type="dxa"/>
            <w:gridSpan w:val="2"/>
            <w:tcBorders>
              <w:top w:val="nil"/>
              <w:left w:val="nil"/>
              <w:bottom w:val="nil"/>
              <w:right w:val="nil"/>
            </w:tcBorders>
            <w:shd w:val="clear" w:color="000000" w:fill="538DD5"/>
            <w:noWrap/>
            <w:vAlign w:val="center"/>
            <w:hideMark/>
          </w:tcPr>
          <w:p w14:paraId="5DC9BCF2" w14:textId="77777777" w:rsidR="00ED46E3" w:rsidRPr="00ED46E3" w:rsidRDefault="00ED46E3" w:rsidP="00ED46E3">
            <w:pPr>
              <w:spacing w:after="0" w:line="240" w:lineRule="auto"/>
              <w:jc w:val="center"/>
              <w:rPr>
                <w:rFonts w:ascii="Arial" w:eastAsia="Times New Roman" w:hAnsi="Arial" w:cs="Arial"/>
                <w:b/>
                <w:bCs/>
                <w:color w:val="FFFFFF"/>
                <w:sz w:val="16"/>
                <w:szCs w:val="16"/>
                <w:lang w:val="fr-FR" w:eastAsia="ja-JP"/>
              </w:rPr>
            </w:pPr>
            <w:proofErr w:type="spellStart"/>
            <w:r w:rsidRPr="00ED46E3">
              <w:rPr>
                <w:rFonts w:ascii="Arial" w:eastAsia="Times New Roman" w:hAnsi="Arial" w:cs="Arial"/>
                <w:b/>
                <w:bCs/>
                <w:color w:val="FFFFFF"/>
                <w:sz w:val="16"/>
                <w:szCs w:val="16"/>
                <w:lang w:val="fr-FR" w:eastAsia="ja-JP"/>
              </w:rPr>
              <w:t>Order</w:t>
            </w:r>
            <w:proofErr w:type="spellEnd"/>
          </w:p>
        </w:tc>
        <w:tc>
          <w:tcPr>
            <w:tcW w:w="708" w:type="dxa"/>
            <w:vMerge w:val="restart"/>
            <w:tcBorders>
              <w:top w:val="nil"/>
              <w:left w:val="nil"/>
              <w:bottom w:val="nil"/>
              <w:right w:val="nil"/>
            </w:tcBorders>
            <w:shd w:val="clear" w:color="000000" w:fill="538DD5"/>
            <w:vAlign w:val="center"/>
            <w:hideMark/>
          </w:tcPr>
          <w:p w14:paraId="1F626B2E" w14:textId="77777777" w:rsidR="00ED46E3" w:rsidRPr="00ED46E3" w:rsidRDefault="00ED46E3" w:rsidP="00ED46E3">
            <w:pPr>
              <w:spacing w:after="0" w:line="240" w:lineRule="auto"/>
              <w:jc w:val="center"/>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xml:space="preserve">Client </w:t>
            </w:r>
            <w:proofErr w:type="spellStart"/>
            <w:r w:rsidRPr="00ED46E3">
              <w:rPr>
                <w:rFonts w:ascii="Arial" w:eastAsia="Times New Roman" w:hAnsi="Arial" w:cs="Arial"/>
                <w:b/>
                <w:bCs/>
                <w:color w:val="FFFFFF"/>
                <w:sz w:val="16"/>
                <w:szCs w:val="16"/>
                <w:lang w:val="fr-FR" w:eastAsia="ja-JP"/>
              </w:rPr>
              <w:t>Tiering</w:t>
            </w:r>
            <w:proofErr w:type="spellEnd"/>
          </w:p>
        </w:tc>
      </w:tr>
      <w:tr w:rsidR="00B41B29" w:rsidRPr="00ED46E3" w14:paraId="50E4C59E" w14:textId="77777777" w:rsidTr="00B41B29">
        <w:trPr>
          <w:trHeight w:val="63"/>
        </w:trPr>
        <w:tc>
          <w:tcPr>
            <w:tcW w:w="2410" w:type="dxa"/>
            <w:vMerge/>
            <w:tcBorders>
              <w:top w:val="nil"/>
              <w:left w:val="nil"/>
              <w:bottom w:val="nil"/>
              <w:right w:val="nil"/>
            </w:tcBorders>
            <w:vAlign w:val="center"/>
            <w:hideMark/>
          </w:tcPr>
          <w:p w14:paraId="7D65EE54"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p>
        </w:tc>
        <w:tc>
          <w:tcPr>
            <w:tcW w:w="992" w:type="dxa"/>
            <w:vMerge/>
            <w:tcBorders>
              <w:top w:val="nil"/>
              <w:left w:val="nil"/>
              <w:bottom w:val="nil"/>
              <w:right w:val="nil"/>
            </w:tcBorders>
            <w:vAlign w:val="center"/>
            <w:hideMark/>
          </w:tcPr>
          <w:p w14:paraId="4A750839"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p>
        </w:tc>
        <w:tc>
          <w:tcPr>
            <w:tcW w:w="851" w:type="dxa"/>
            <w:vMerge/>
            <w:tcBorders>
              <w:top w:val="nil"/>
              <w:left w:val="nil"/>
              <w:bottom w:val="nil"/>
              <w:right w:val="nil"/>
            </w:tcBorders>
            <w:vAlign w:val="center"/>
            <w:hideMark/>
          </w:tcPr>
          <w:p w14:paraId="06C9485B"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p>
        </w:tc>
        <w:tc>
          <w:tcPr>
            <w:tcW w:w="1134" w:type="dxa"/>
            <w:vMerge/>
            <w:tcBorders>
              <w:top w:val="nil"/>
              <w:left w:val="nil"/>
              <w:bottom w:val="nil"/>
              <w:right w:val="nil"/>
            </w:tcBorders>
            <w:vAlign w:val="center"/>
            <w:hideMark/>
          </w:tcPr>
          <w:p w14:paraId="72E96FC5"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p>
        </w:tc>
        <w:tc>
          <w:tcPr>
            <w:tcW w:w="995" w:type="dxa"/>
            <w:vMerge/>
            <w:tcBorders>
              <w:top w:val="nil"/>
              <w:left w:val="nil"/>
              <w:bottom w:val="nil"/>
              <w:right w:val="nil"/>
            </w:tcBorders>
            <w:vAlign w:val="center"/>
            <w:hideMark/>
          </w:tcPr>
          <w:p w14:paraId="0071D8EC"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p>
        </w:tc>
        <w:tc>
          <w:tcPr>
            <w:tcW w:w="851" w:type="dxa"/>
            <w:tcBorders>
              <w:top w:val="nil"/>
              <w:left w:val="nil"/>
              <w:bottom w:val="nil"/>
              <w:right w:val="nil"/>
            </w:tcBorders>
            <w:shd w:val="clear" w:color="000000" w:fill="538DD5"/>
            <w:noWrap/>
            <w:vAlign w:val="center"/>
            <w:hideMark/>
          </w:tcPr>
          <w:p w14:paraId="2A9B8F0E" w14:textId="77777777" w:rsidR="00ED46E3" w:rsidRPr="00ED46E3" w:rsidRDefault="00ED46E3" w:rsidP="00ED46E3">
            <w:pPr>
              <w:spacing w:after="0" w:line="240" w:lineRule="auto"/>
              <w:jc w:val="center"/>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Size</w:t>
            </w:r>
          </w:p>
        </w:tc>
        <w:tc>
          <w:tcPr>
            <w:tcW w:w="567" w:type="dxa"/>
            <w:tcBorders>
              <w:top w:val="nil"/>
              <w:left w:val="nil"/>
              <w:bottom w:val="nil"/>
              <w:right w:val="nil"/>
            </w:tcBorders>
            <w:shd w:val="clear" w:color="000000" w:fill="538DD5"/>
            <w:noWrap/>
            <w:vAlign w:val="center"/>
            <w:hideMark/>
          </w:tcPr>
          <w:p w14:paraId="2CCBE434" w14:textId="77777777" w:rsidR="00ED46E3" w:rsidRPr="00ED46E3" w:rsidRDefault="00ED46E3" w:rsidP="00ED46E3">
            <w:pPr>
              <w:spacing w:after="0" w:line="240" w:lineRule="auto"/>
              <w:jc w:val="center"/>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Type</w:t>
            </w:r>
          </w:p>
        </w:tc>
        <w:tc>
          <w:tcPr>
            <w:tcW w:w="708" w:type="dxa"/>
            <w:vMerge/>
            <w:tcBorders>
              <w:top w:val="nil"/>
              <w:left w:val="nil"/>
              <w:bottom w:val="nil"/>
              <w:right w:val="nil"/>
            </w:tcBorders>
            <w:vAlign w:val="center"/>
            <w:hideMark/>
          </w:tcPr>
          <w:p w14:paraId="24FE753F"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p>
        </w:tc>
      </w:tr>
      <w:tr w:rsidR="00ED46E3" w:rsidRPr="00ED46E3" w14:paraId="4A3C1DDC" w14:textId="77777777" w:rsidTr="00B41B29">
        <w:trPr>
          <w:trHeight w:val="63"/>
        </w:trPr>
        <w:tc>
          <w:tcPr>
            <w:tcW w:w="8508" w:type="dxa"/>
            <w:gridSpan w:val="8"/>
            <w:tcBorders>
              <w:top w:val="nil"/>
              <w:left w:val="nil"/>
              <w:bottom w:val="nil"/>
              <w:right w:val="nil"/>
            </w:tcBorders>
            <w:shd w:val="clear" w:color="000000" w:fill="8DB4E2"/>
            <w:vAlign w:val="center"/>
            <w:hideMark/>
          </w:tcPr>
          <w:p w14:paraId="737E2AC8"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FX</w:t>
            </w:r>
          </w:p>
        </w:tc>
      </w:tr>
      <w:tr w:rsidR="00B41B29" w:rsidRPr="00ED46E3" w14:paraId="19D1166D" w14:textId="77777777" w:rsidTr="00B41B29">
        <w:trPr>
          <w:trHeight w:val="135"/>
        </w:trPr>
        <w:tc>
          <w:tcPr>
            <w:tcW w:w="2410" w:type="dxa"/>
            <w:tcBorders>
              <w:top w:val="single" w:sz="4" w:space="0" w:color="4F81BD"/>
              <w:left w:val="nil"/>
              <w:bottom w:val="nil"/>
              <w:right w:val="nil"/>
            </w:tcBorders>
            <w:shd w:val="clear" w:color="DCE6F1" w:fill="DCE6F1"/>
            <w:vAlign w:val="center"/>
            <w:hideMark/>
          </w:tcPr>
          <w:p w14:paraId="7F526DA4" w14:textId="77777777" w:rsidR="00ED46E3" w:rsidRPr="00ED46E3" w:rsidRDefault="00ED46E3" w:rsidP="00ED46E3">
            <w:pPr>
              <w:spacing w:after="0" w:line="240" w:lineRule="auto"/>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FX Option</w:t>
            </w:r>
          </w:p>
        </w:tc>
        <w:tc>
          <w:tcPr>
            <w:tcW w:w="992" w:type="dxa"/>
            <w:tcBorders>
              <w:top w:val="single" w:sz="4" w:space="0" w:color="4F81BD"/>
              <w:left w:val="nil"/>
              <w:bottom w:val="nil"/>
              <w:right w:val="nil"/>
            </w:tcBorders>
            <w:shd w:val="clear" w:color="DCE6F1" w:fill="DCE6F1"/>
            <w:noWrap/>
            <w:vAlign w:val="center"/>
            <w:hideMark/>
          </w:tcPr>
          <w:p w14:paraId="18451BE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single" w:sz="4" w:space="0" w:color="4F81BD"/>
              <w:left w:val="nil"/>
              <w:bottom w:val="nil"/>
              <w:right w:val="nil"/>
            </w:tcBorders>
            <w:shd w:val="clear" w:color="DCE6F1" w:fill="DCE6F1"/>
            <w:noWrap/>
            <w:vAlign w:val="center"/>
            <w:hideMark/>
          </w:tcPr>
          <w:p w14:paraId="2E4D0394"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4</w:t>
            </w:r>
          </w:p>
        </w:tc>
        <w:tc>
          <w:tcPr>
            <w:tcW w:w="1134" w:type="dxa"/>
            <w:tcBorders>
              <w:top w:val="single" w:sz="4" w:space="0" w:color="4F81BD"/>
              <w:left w:val="nil"/>
              <w:bottom w:val="nil"/>
              <w:right w:val="nil"/>
            </w:tcBorders>
            <w:shd w:val="clear" w:color="DCE6F1" w:fill="DCE6F1"/>
            <w:noWrap/>
            <w:vAlign w:val="center"/>
            <w:hideMark/>
          </w:tcPr>
          <w:p w14:paraId="5B8F0C3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995" w:type="dxa"/>
            <w:tcBorders>
              <w:top w:val="single" w:sz="4" w:space="0" w:color="4F81BD"/>
              <w:left w:val="nil"/>
              <w:bottom w:val="nil"/>
              <w:right w:val="nil"/>
            </w:tcBorders>
            <w:shd w:val="clear" w:color="DCE6F1" w:fill="DCE6F1"/>
            <w:noWrap/>
            <w:vAlign w:val="center"/>
            <w:hideMark/>
          </w:tcPr>
          <w:p w14:paraId="19D5B1AB"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3</w:t>
            </w:r>
          </w:p>
        </w:tc>
        <w:tc>
          <w:tcPr>
            <w:tcW w:w="851" w:type="dxa"/>
            <w:tcBorders>
              <w:top w:val="single" w:sz="4" w:space="0" w:color="4F81BD"/>
              <w:left w:val="nil"/>
              <w:bottom w:val="nil"/>
              <w:right w:val="nil"/>
            </w:tcBorders>
            <w:shd w:val="clear" w:color="DCE6F1" w:fill="DCE6F1"/>
            <w:noWrap/>
            <w:vAlign w:val="center"/>
            <w:hideMark/>
          </w:tcPr>
          <w:p w14:paraId="360DAC5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567" w:type="dxa"/>
            <w:tcBorders>
              <w:top w:val="single" w:sz="4" w:space="0" w:color="4F81BD"/>
              <w:left w:val="nil"/>
              <w:bottom w:val="nil"/>
              <w:right w:val="nil"/>
            </w:tcBorders>
            <w:shd w:val="clear" w:color="DCE6F1" w:fill="DCE6F1"/>
            <w:noWrap/>
            <w:vAlign w:val="center"/>
            <w:hideMark/>
          </w:tcPr>
          <w:p w14:paraId="459A2AF3"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708" w:type="dxa"/>
            <w:tcBorders>
              <w:top w:val="single" w:sz="4" w:space="0" w:color="4F81BD"/>
              <w:left w:val="nil"/>
              <w:bottom w:val="nil"/>
              <w:right w:val="nil"/>
            </w:tcBorders>
            <w:shd w:val="clear" w:color="DCE6F1" w:fill="DCE6F1"/>
            <w:noWrap/>
            <w:vAlign w:val="center"/>
            <w:hideMark/>
          </w:tcPr>
          <w:p w14:paraId="466E8AD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4</w:t>
            </w:r>
          </w:p>
        </w:tc>
      </w:tr>
      <w:tr w:rsidR="00B41B29" w:rsidRPr="00ED46E3" w14:paraId="62B9AE87" w14:textId="77777777" w:rsidTr="00B41B29">
        <w:trPr>
          <w:trHeight w:val="142"/>
        </w:trPr>
        <w:tc>
          <w:tcPr>
            <w:tcW w:w="2410" w:type="dxa"/>
            <w:tcBorders>
              <w:top w:val="nil"/>
              <w:left w:val="nil"/>
              <w:bottom w:val="single" w:sz="4" w:space="0" w:color="4F81BD"/>
              <w:right w:val="nil"/>
            </w:tcBorders>
            <w:shd w:val="clear" w:color="auto" w:fill="auto"/>
            <w:vAlign w:val="center"/>
            <w:hideMark/>
          </w:tcPr>
          <w:p w14:paraId="05560F8B" w14:textId="77777777" w:rsidR="00ED46E3" w:rsidRPr="00ED46E3" w:rsidRDefault="00ED46E3" w:rsidP="00ED46E3">
            <w:pPr>
              <w:spacing w:after="0" w:line="240" w:lineRule="auto"/>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 xml:space="preserve">Spot / </w:t>
            </w:r>
            <w:proofErr w:type="spellStart"/>
            <w:r w:rsidRPr="00ED46E3">
              <w:rPr>
                <w:rFonts w:ascii="Arial" w:eastAsia="Times New Roman" w:hAnsi="Arial" w:cs="Arial"/>
                <w:sz w:val="16"/>
                <w:szCs w:val="16"/>
                <w:lang w:val="fr-FR" w:eastAsia="ja-JP"/>
              </w:rPr>
              <w:t>Linear</w:t>
            </w:r>
            <w:proofErr w:type="spellEnd"/>
            <w:r w:rsidRPr="00ED46E3">
              <w:rPr>
                <w:rFonts w:ascii="Arial" w:eastAsia="Times New Roman" w:hAnsi="Arial" w:cs="Arial"/>
                <w:sz w:val="16"/>
                <w:szCs w:val="16"/>
                <w:lang w:val="fr-FR" w:eastAsia="ja-JP"/>
              </w:rPr>
              <w:t xml:space="preserve"> FX</w:t>
            </w:r>
          </w:p>
        </w:tc>
        <w:tc>
          <w:tcPr>
            <w:tcW w:w="992" w:type="dxa"/>
            <w:tcBorders>
              <w:top w:val="nil"/>
              <w:left w:val="nil"/>
              <w:bottom w:val="single" w:sz="4" w:space="0" w:color="4F81BD"/>
              <w:right w:val="nil"/>
            </w:tcBorders>
            <w:shd w:val="clear" w:color="auto" w:fill="auto"/>
            <w:noWrap/>
            <w:vAlign w:val="center"/>
            <w:hideMark/>
          </w:tcPr>
          <w:p w14:paraId="519F06F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single" w:sz="4" w:space="0" w:color="4F81BD"/>
              <w:right w:val="nil"/>
            </w:tcBorders>
            <w:shd w:val="clear" w:color="auto" w:fill="auto"/>
            <w:noWrap/>
            <w:vAlign w:val="center"/>
            <w:hideMark/>
          </w:tcPr>
          <w:p w14:paraId="5CDADF6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1134" w:type="dxa"/>
            <w:tcBorders>
              <w:top w:val="nil"/>
              <w:left w:val="nil"/>
              <w:bottom w:val="single" w:sz="4" w:space="0" w:color="4F81BD"/>
              <w:right w:val="nil"/>
            </w:tcBorders>
            <w:shd w:val="clear" w:color="auto" w:fill="auto"/>
            <w:noWrap/>
            <w:vAlign w:val="center"/>
            <w:hideMark/>
          </w:tcPr>
          <w:p w14:paraId="53BA9DE2"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995" w:type="dxa"/>
            <w:tcBorders>
              <w:top w:val="nil"/>
              <w:left w:val="nil"/>
              <w:bottom w:val="single" w:sz="4" w:space="0" w:color="4F81BD"/>
              <w:right w:val="nil"/>
            </w:tcBorders>
            <w:shd w:val="clear" w:color="auto" w:fill="auto"/>
            <w:noWrap/>
            <w:vAlign w:val="center"/>
            <w:hideMark/>
          </w:tcPr>
          <w:p w14:paraId="3947CAE8"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single" w:sz="4" w:space="0" w:color="4F81BD"/>
              <w:right w:val="nil"/>
            </w:tcBorders>
            <w:shd w:val="clear" w:color="auto" w:fill="auto"/>
            <w:noWrap/>
            <w:vAlign w:val="center"/>
            <w:hideMark/>
          </w:tcPr>
          <w:p w14:paraId="123FFE0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567" w:type="dxa"/>
            <w:tcBorders>
              <w:top w:val="nil"/>
              <w:left w:val="nil"/>
              <w:bottom w:val="single" w:sz="4" w:space="0" w:color="4F81BD"/>
              <w:right w:val="nil"/>
            </w:tcBorders>
            <w:shd w:val="clear" w:color="auto" w:fill="auto"/>
            <w:noWrap/>
            <w:vAlign w:val="center"/>
            <w:hideMark/>
          </w:tcPr>
          <w:p w14:paraId="3C00FA8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708" w:type="dxa"/>
            <w:tcBorders>
              <w:top w:val="nil"/>
              <w:left w:val="nil"/>
              <w:bottom w:val="single" w:sz="4" w:space="0" w:color="4F81BD"/>
              <w:right w:val="nil"/>
            </w:tcBorders>
            <w:shd w:val="clear" w:color="auto" w:fill="auto"/>
            <w:noWrap/>
            <w:vAlign w:val="center"/>
            <w:hideMark/>
          </w:tcPr>
          <w:p w14:paraId="0C98F34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3</w:t>
            </w:r>
          </w:p>
        </w:tc>
      </w:tr>
      <w:tr w:rsidR="00ED46E3" w:rsidRPr="00ED46E3" w14:paraId="4B958453" w14:textId="77777777" w:rsidTr="00B41B29">
        <w:trPr>
          <w:trHeight w:val="153"/>
        </w:trPr>
        <w:tc>
          <w:tcPr>
            <w:tcW w:w="8508" w:type="dxa"/>
            <w:gridSpan w:val="8"/>
            <w:tcBorders>
              <w:top w:val="nil"/>
              <w:left w:val="nil"/>
              <w:bottom w:val="nil"/>
              <w:right w:val="nil"/>
            </w:tcBorders>
            <w:shd w:val="clear" w:color="000000" w:fill="8DB4E2"/>
            <w:vAlign w:val="center"/>
            <w:hideMark/>
          </w:tcPr>
          <w:p w14:paraId="086952AE"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proofErr w:type="spellStart"/>
            <w:r w:rsidRPr="00ED46E3">
              <w:rPr>
                <w:rFonts w:ascii="Arial" w:eastAsia="Times New Roman" w:hAnsi="Arial" w:cs="Arial"/>
                <w:b/>
                <w:bCs/>
                <w:color w:val="FFFFFF"/>
                <w:sz w:val="16"/>
                <w:szCs w:val="16"/>
                <w:lang w:val="fr-FR" w:eastAsia="ja-JP"/>
              </w:rPr>
              <w:t>Credit</w:t>
            </w:r>
            <w:proofErr w:type="spellEnd"/>
          </w:p>
        </w:tc>
      </w:tr>
      <w:tr w:rsidR="00B41B29" w:rsidRPr="00ED46E3" w14:paraId="32F3B02C" w14:textId="77777777" w:rsidTr="00B41B29">
        <w:trPr>
          <w:trHeight w:val="53"/>
        </w:trPr>
        <w:tc>
          <w:tcPr>
            <w:tcW w:w="2410" w:type="dxa"/>
            <w:tcBorders>
              <w:top w:val="single" w:sz="4" w:space="0" w:color="4F81BD"/>
              <w:left w:val="nil"/>
              <w:bottom w:val="nil"/>
              <w:right w:val="nil"/>
            </w:tcBorders>
            <w:shd w:val="clear" w:color="DCE6F1" w:fill="DCE6F1"/>
            <w:vAlign w:val="center"/>
            <w:hideMark/>
          </w:tcPr>
          <w:p w14:paraId="420236F3" w14:textId="77777777" w:rsidR="00ED46E3" w:rsidRPr="00ED46E3" w:rsidRDefault="00ED46E3" w:rsidP="00ED46E3">
            <w:pPr>
              <w:spacing w:after="0" w:line="240" w:lineRule="auto"/>
              <w:rPr>
                <w:rFonts w:ascii="Arial" w:eastAsia="Times New Roman" w:hAnsi="Arial" w:cs="Arial"/>
                <w:sz w:val="16"/>
                <w:szCs w:val="16"/>
                <w:lang w:val="fr-FR" w:eastAsia="ja-JP"/>
              </w:rPr>
            </w:pPr>
            <w:proofErr w:type="spellStart"/>
            <w:r w:rsidRPr="00ED46E3">
              <w:rPr>
                <w:rFonts w:ascii="Arial" w:eastAsia="Times New Roman" w:hAnsi="Arial" w:cs="Arial"/>
                <w:sz w:val="16"/>
                <w:szCs w:val="16"/>
                <w:lang w:val="fr-FR" w:eastAsia="ja-JP"/>
              </w:rPr>
              <w:t>Covered</w:t>
            </w:r>
            <w:proofErr w:type="spellEnd"/>
            <w:r w:rsidRPr="00ED46E3">
              <w:rPr>
                <w:rFonts w:ascii="Arial" w:eastAsia="Times New Roman" w:hAnsi="Arial" w:cs="Arial"/>
                <w:sz w:val="16"/>
                <w:szCs w:val="16"/>
                <w:lang w:val="fr-FR" w:eastAsia="ja-JP"/>
              </w:rPr>
              <w:t xml:space="preserve"> Bonds </w:t>
            </w:r>
          </w:p>
        </w:tc>
        <w:tc>
          <w:tcPr>
            <w:tcW w:w="992" w:type="dxa"/>
            <w:tcBorders>
              <w:top w:val="single" w:sz="4" w:space="0" w:color="4F81BD"/>
              <w:left w:val="nil"/>
              <w:bottom w:val="nil"/>
              <w:right w:val="nil"/>
            </w:tcBorders>
            <w:shd w:val="clear" w:color="DCE6F1" w:fill="DCE6F1"/>
            <w:noWrap/>
            <w:vAlign w:val="center"/>
            <w:hideMark/>
          </w:tcPr>
          <w:p w14:paraId="6A02D71A"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single" w:sz="4" w:space="0" w:color="4F81BD"/>
              <w:left w:val="nil"/>
              <w:bottom w:val="nil"/>
              <w:right w:val="nil"/>
            </w:tcBorders>
            <w:shd w:val="clear" w:color="DCE6F1" w:fill="DCE6F1"/>
            <w:noWrap/>
            <w:vAlign w:val="center"/>
            <w:hideMark/>
          </w:tcPr>
          <w:p w14:paraId="0A02DD9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1134" w:type="dxa"/>
            <w:tcBorders>
              <w:top w:val="single" w:sz="4" w:space="0" w:color="4F81BD"/>
              <w:left w:val="nil"/>
              <w:bottom w:val="nil"/>
              <w:right w:val="nil"/>
            </w:tcBorders>
            <w:shd w:val="clear" w:color="DCE6F1" w:fill="DCE6F1"/>
            <w:noWrap/>
            <w:vAlign w:val="center"/>
            <w:hideMark/>
          </w:tcPr>
          <w:p w14:paraId="2AFB6E8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995" w:type="dxa"/>
            <w:tcBorders>
              <w:top w:val="single" w:sz="4" w:space="0" w:color="4F81BD"/>
              <w:left w:val="nil"/>
              <w:bottom w:val="nil"/>
              <w:right w:val="nil"/>
            </w:tcBorders>
            <w:shd w:val="clear" w:color="DCE6F1" w:fill="DCE6F1"/>
            <w:noWrap/>
            <w:vAlign w:val="center"/>
            <w:hideMark/>
          </w:tcPr>
          <w:p w14:paraId="0ACB0862"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single" w:sz="4" w:space="0" w:color="4F81BD"/>
              <w:left w:val="nil"/>
              <w:bottom w:val="nil"/>
              <w:right w:val="nil"/>
            </w:tcBorders>
            <w:shd w:val="clear" w:color="DCE6F1" w:fill="DCE6F1"/>
            <w:noWrap/>
            <w:vAlign w:val="center"/>
            <w:hideMark/>
          </w:tcPr>
          <w:p w14:paraId="2A0D4FF3"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567" w:type="dxa"/>
            <w:tcBorders>
              <w:top w:val="single" w:sz="4" w:space="0" w:color="4F81BD"/>
              <w:left w:val="nil"/>
              <w:bottom w:val="nil"/>
              <w:right w:val="nil"/>
            </w:tcBorders>
            <w:shd w:val="clear" w:color="DCE6F1" w:fill="DCE6F1"/>
            <w:noWrap/>
            <w:vAlign w:val="center"/>
            <w:hideMark/>
          </w:tcPr>
          <w:p w14:paraId="5BC0E788"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708" w:type="dxa"/>
            <w:tcBorders>
              <w:top w:val="single" w:sz="4" w:space="0" w:color="4F81BD"/>
              <w:left w:val="nil"/>
              <w:bottom w:val="nil"/>
              <w:right w:val="nil"/>
            </w:tcBorders>
            <w:shd w:val="clear" w:color="DCE6F1" w:fill="DCE6F1"/>
            <w:noWrap/>
            <w:vAlign w:val="center"/>
            <w:hideMark/>
          </w:tcPr>
          <w:p w14:paraId="127F2679"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r w:rsidR="00B41B29" w:rsidRPr="00ED46E3" w14:paraId="5819D2B2" w14:textId="77777777" w:rsidTr="00B41B29">
        <w:trPr>
          <w:trHeight w:val="63"/>
        </w:trPr>
        <w:tc>
          <w:tcPr>
            <w:tcW w:w="2410" w:type="dxa"/>
            <w:tcBorders>
              <w:top w:val="nil"/>
              <w:left w:val="nil"/>
              <w:bottom w:val="nil"/>
              <w:right w:val="nil"/>
            </w:tcBorders>
            <w:shd w:val="clear" w:color="auto" w:fill="auto"/>
            <w:vAlign w:val="center"/>
            <w:hideMark/>
          </w:tcPr>
          <w:p w14:paraId="49BA5503" w14:textId="77777777" w:rsidR="00ED46E3" w:rsidRPr="00ED46E3" w:rsidRDefault="00ED46E3" w:rsidP="00ED46E3">
            <w:pPr>
              <w:spacing w:after="0" w:line="240" w:lineRule="auto"/>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 xml:space="preserve">Investment </w:t>
            </w:r>
            <w:proofErr w:type="spellStart"/>
            <w:r w:rsidRPr="00ED46E3">
              <w:rPr>
                <w:rFonts w:ascii="Arial" w:eastAsia="Times New Roman" w:hAnsi="Arial" w:cs="Arial"/>
                <w:sz w:val="16"/>
                <w:szCs w:val="16"/>
                <w:lang w:val="fr-FR" w:eastAsia="ja-JP"/>
              </w:rPr>
              <w:t>Frade</w:t>
            </w:r>
            <w:proofErr w:type="spellEnd"/>
          </w:p>
        </w:tc>
        <w:tc>
          <w:tcPr>
            <w:tcW w:w="992" w:type="dxa"/>
            <w:tcBorders>
              <w:top w:val="nil"/>
              <w:left w:val="nil"/>
              <w:bottom w:val="nil"/>
              <w:right w:val="nil"/>
            </w:tcBorders>
            <w:shd w:val="clear" w:color="auto" w:fill="auto"/>
            <w:noWrap/>
            <w:vAlign w:val="center"/>
            <w:hideMark/>
          </w:tcPr>
          <w:p w14:paraId="0C5C237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auto" w:fill="auto"/>
            <w:noWrap/>
            <w:vAlign w:val="center"/>
            <w:hideMark/>
          </w:tcPr>
          <w:p w14:paraId="45C8673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1134" w:type="dxa"/>
            <w:tcBorders>
              <w:top w:val="nil"/>
              <w:left w:val="nil"/>
              <w:bottom w:val="nil"/>
              <w:right w:val="nil"/>
            </w:tcBorders>
            <w:shd w:val="clear" w:color="auto" w:fill="auto"/>
            <w:noWrap/>
            <w:vAlign w:val="center"/>
            <w:hideMark/>
          </w:tcPr>
          <w:p w14:paraId="342D6A0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995" w:type="dxa"/>
            <w:tcBorders>
              <w:top w:val="nil"/>
              <w:left w:val="nil"/>
              <w:bottom w:val="nil"/>
              <w:right w:val="nil"/>
            </w:tcBorders>
            <w:shd w:val="clear" w:color="auto" w:fill="auto"/>
            <w:noWrap/>
            <w:vAlign w:val="center"/>
            <w:hideMark/>
          </w:tcPr>
          <w:p w14:paraId="4D4A34DC"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nil"/>
              <w:right w:val="nil"/>
            </w:tcBorders>
            <w:shd w:val="clear" w:color="auto" w:fill="auto"/>
            <w:noWrap/>
            <w:vAlign w:val="center"/>
            <w:hideMark/>
          </w:tcPr>
          <w:p w14:paraId="32DAC858"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567" w:type="dxa"/>
            <w:tcBorders>
              <w:top w:val="nil"/>
              <w:left w:val="nil"/>
              <w:bottom w:val="nil"/>
              <w:right w:val="nil"/>
            </w:tcBorders>
            <w:shd w:val="clear" w:color="auto" w:fill="auto"/>
            <w:noWrap/>
            <w:vAlign w:val="center"/>
            <w:hideMark/>
          </w:tcPr>
          <w:p w14:paraId="0E44AB7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708" w:type="dxa"/>
            <w:tcBorders>
              <w:top w:val="nil"/>
              <w:left w:val="nil"/>
              <w:bottom w:val="nil"/>
              <w:right w:val="nil"/>
            </w:tcBorders>
            <w:shd w:val="clear" w:color="auto" w:fill="auto"/>
            <w:noWrap/>
            <w:vAlign w:val="center"/>
            <w:hideMark/>
          </w:tcPr>
          <w:p w14:paraId="7B71CEDC"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r>
      <w:tr w:rsidR="00B41B29" w:rsidRPr="00ED46E3" w14:paraId="1A04339D" w14:textId="77777777" w:rsidTr="00B41B29">
        <w:trPr>
          <w:trHeight w:val="63"/>
        </w:trPr>
        <w:tc>
          <w:tcPr>
            <w:tcW w:w="2410" w:type="dxa"/>
            <w:tcBorders>
              <w:top w:val="nil"/>
              <w:left w:val="nil"/>
              <w:bottom w:val="nil"/>
              <w:right w:val="nil"/>
            </w:tcBorders>
            <w:shd w:val="clear" w:color="DCE6F1" w:fill="DCE6F1"/>
            <w:vAlign w:val="center"/>
            <w:hideMark/>
          </w:tcPr>
          <w:p w14:paraId="71B4CB68" w14:textId="77777777" w:rsidR="00ED46E3" w:rsidRPr="00ED46E3" w:rsidRDefault="00ED46E3" w:rsidP="00ED46E3">
            <w:pPr>
              <w:spacing w:after="0" w:line="240" w:lineRule="auto"/>
              <w:rPr>
                <w:rFonts w:ascii="Arial" w:eastAsia="Times New Roman" w:hAnsi="Arial" w:cs="Arial"/>
                <w:sz w:val="16"/>
                <w:szCs w:val="16"/>
                <w:lang w:val="fr-FR" w:eastAsia="ja-JP"/>
              </w:rPr>
            </w:pPr>
            <w:proofErr w:type="spellStart"/>
            <w:r w:rsidRPr="00ED46E3">
              <w:rPr>
                <w:rFonts w:ascii="Arial" w:eastAsia="Times New Roman" w:hAnsi="Arial" w:cs="Arial"/>
                <w:sz w:val="16"/>
                <w:szCs w:val="16"/>
                <w:lang w:val="fr-FR" w:eastAsia="ja-JP"/>
              </w:rPr>
              <w:t>Emerging</w:t>
            </w:r>
            <w:proofErr w:type="spellEnd"/>
            <w:r w:rsidRPr="00ED46E3">
              <w:rPr>
                <w:rFonts w:ascii="Arial" w:eastAsia="Times New Roman" w:hAnsi="Arial" w:cs="Arial"/>
                <w:sz w:val="16"/>
                <w:szCs w:val="16"/>
                <w:lang w:val="fr-FR" w:eastAsia="ja-JP"/>
              </w:rPr>
              <w:t xml:space="preserve"> </w:t>
            </w:r>
            <w:proofErr w:type="spellStart"/>
            <w:r w:rsidRPr="00ED46E3">
              <w:rPr>
                <w:rFonts w:ascii="Arial" w:eastAsia="Times New Roman" w:hAnsi="Arial" w:cs="Arial"/>
                <w:sz w:val="16"/>
                <w:szCs w:val="16"/>
                <w:lang w:val="fr-FR" w:eastAsia="ja-JP"/>
              </w:rPr>
              <w:t>Markets</w:t>
            </w:r>
            <w:proofErr w:type="spellEnd"/>
          </w:p>
        </w:tc>
        <w:tc>
          <w:tcPr>
            <w:tcW w:w="992" w:type="dxa"/>
            <w:tcBorders>
              <w:top w:val="nil"/>
              <w:left w:val="nil"/>
              <w:bottom w:val="nil"/>
              <w:right w:val="nil"/>
            </w:tcBorders>
            <w:shd w:val="clear" w:color="DCE6F1" w:fill="DCE6F1"/>
            <w:noWrap/>
            <w:vAlign w:val="center"/>
            <w:hideMark/>
          </w:tcPr>
          <w:p w14:paraId="3FEC3F54"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DCE6F1" w:fill="DCE6F1"/>
            <w:noWrap/>
            <w:vAlign w:val="center"/>
            <w:hideMark/>
          </w:tcPr>
          <w:p w14:paraId="65465EB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1134" w:type="dxa"/>
            <w:tcBorders>
              <w:top w:val="nil"/>
              <w:left w:val="nil"/>
              <w:bottom w:val="nil"/>
              <w:right w:val="nil"/>
            </w:tcBorders>
            <w:shd w:val="clear" w:color="DCE6F1" w:fill="DCE6F1"/>
            <w:noWrap/>
            <w:vAlign w:val="center"/>
            <w:hideMark/>
          </w:tcPr>
          <w:p w14:paraId="57AD8812"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995" w:type="dxa"/>
            <w:tcBorders>
              <w:top w:val="nil"/>
              <w:left w:val="nil"/>
              <w:bottom w:val="nil"/>
              <w:right w:val="nil"/>
            </w:tcBorders>
            <w:shd w:val="clear" w:color="DCE6F1" w:fill="DCE6F1"/>
            <w:noWrap/>
            <w:vAlign w:val="center"/>
            <w:hideMark/>
          </w:tcPr>
          <w:p w14:paraId="374A0DB4"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nil"/>
              <w:right w:val="nil"/>
            </w:tcBorders>
            <w:shd w:val="clear" w:color="DCE6F1" w:fill="DCE6F1"/>
            <w:noWrap/>
            <w:vAlign w:val="center"/>
            <w:hideMark/>
          </w:tcPr>
          <w:p w14:paraId="2EFC9333"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567" w:type="dxa"/>
            <w:tcBorders>
              <w:top w:val="nil"/>
              <w:left w:val="nil"/>
              <w:bottom w:val="nil"/>
              <w:right w:val="nil"/>
            </w:tcBorders>
            <w:shd w:val="clear" w:color="DCE6F1" w:fill="DCE6F1"/>
            <w:noWrap/>
            <w:vAlign w:val="center"/>
            <w:hideMark/>
          </w:tcPr>
          <w:p w14:paraId="2AA7D914"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708" w:type="dxa"/>
            <w:tcBorders>
              <w:top w:val="nil"/>
              <w:left w:val="nil"/>
              <w:bottom w:val="nil"/>
              <w:right w:val="nil"/>
            </w:tcBorders>
            <w:shd w:val="clear" w:color="DCE6F1" w:fill="DCE6F1"/>
            <w:noWrap/>
            <w:vAlign w:val="center"/>
            <w:hideMark/>
          </w:tcPr>
          <w:p w14:paraId="043FAE09"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r w:rsidR="00B41B29" w:rsidRPr="00ED46E3" w14:paraId="2A3F2220" w14:textId="77777777" w:rsidTr="00B41B29">
        <w:trPr>
          <w:trHeight w:val="93"/>
        </w:trPr>
        <w:tc>
          <w:tcPr>
            <w:tcW w:w="2410" w:type="dxa"/>
            <w:tcBorders>
              <w:top w:val="nil"/>
              <w:left w:val="nil"/>
              <w:bottom w:val="nil"/>
              <w:right w:val="nil"/>
            </w:tcBorders>
            <w:shd w:val="clear" w:color="auto" w:fill="auto"/>
            <w:vAlign w:val="center"/>
            <w:hideMark/>
          </w:tcPr>
          <w:p w14:paraId="2E3CC52F" w14:textId="77777777" w:rsidR="00ED46E3" w:rsidRPr="00ED46E3" w:rsidRDefault="00ED46E3" w:rsidP="00ED46E3">
            <w:pPr>
              <w:spacing w:after="0" w:line="240" w:lineRule="auto"/>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 xml:space="preserve">High </w:t>
            </w:r>
            <w:proofErr w:type="spellStart"/>
            <w:r w:rsidRPr="00ED46E3">
              <w:rPr>
                <w:rFonts w:ascii="Arial" w:eastAsia="Times New Roman" w:hAnsi="Arial" w:cs="Arial"/>
                <w:sz w:val="16"/>
                <w:szCs w:val="16"/>
                <w:lang w:val="fr-FR" w:eastAsia="ja-JP"/>
              </w:rPr>
              <w:t>Yield</w:t>
            </w:r>
            <w:proofErr w:type="spellEnd"/>
          </w:p>
        </w:tc>
        <w:tc>
          <w:tcPr>
            <w:tcW w:w="992" w:type="dxa"/>
            <w:tcBorders>
              <w:top w:val="nil"/>
              <w:left w:val="nil"/>
              <w:bottom w:val="nil"/>
              <w:right w:val="nil"/>
            </w:tcBorders>
            <w:shd w:val="clear" w:color="auto" w:fill="auto"/>
            <w:noWrap/>
            <w:vAlign w:val="center"/>
            <w:hideMark/>
          </w:tcPr>
          <w:p w14:paraId="6C6569EC"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auto" w:fill="auto"/>
            <w:noWrap/>
            <w:vAlign w:val="center"/>
            <w:hideMark/>
          </w:tcPr>
          <w:p w14:paraId="099D7860"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1134" w:type="dxa"/>
            <w:tcBorders>
              <w:top w:val="nil"/>
              <w:left w:val="nil"/>
              <w:bottom w:val="nil"/>
              <w:right w:val="nil"/>
            </w:tcBorders>
            <w:shd w:val="clear" w:color="auto" w:fill="auto"/>
            <w:noWrap/>
            <w:vAlign w:val="center"/>
            <w:hideMark/>
          </w:tcPr>
          <w:p w14:paraId="791FB53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995" w:type="dxa"/>
            <w:tcBorders>
              <w:top w:val="nil"/>
              <w:left w:val="nil"/>
              <w:bottom w:val="nil"/>
              <w:right w:val="nil"/>
            </w:tcBorders>
            <w:shd w:val="clear" w:color="auto" w:fill="auto"/>
            <w:noWrap/>
            <w:vAlign w:val="center"/>
            <w:hideMark/>
          </w:tcPr>
          <w:p w14:paraId="5078F878"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nil"/>
              <w:right w:val="nil"/>
            </w:tcBorders>
            <w:shd w:val="clear" w:color="auto" w:fill="auto"/>
            <w:noWrap/>
            <w:vAlign w:val="center"/>
            <w:hideMark/>
          </w:tcPr>
          <w:p w14:paraId="4BE0F1A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567" w:type="dxa"/>
            <w:tcBorders>
              <w:top w:val="nil"/>
              <w:left w:val="nil"/>
              <w:bottom w:val="nil"/>
              <w:right w:val="nil"/>
            </w:tcBorders>
            <w:shd w:val="clear" w:color="auto" w:fill="auto"/>
            <w:noWrap/>
            <w:vAlign w:val="center"/>
            <w:hideMark/>
          </w:tcPr>
          <w:p w14:paraId="0FA285C2"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708" w:type="dxa"/>
            <w:tcBorders>
              <w:top w:val="nil"/>
              <w:left w:val="nil"/>
              <w:bottom w:val="nil"/>
              <w:right w:val="nil"/>
            </w:tcBorders>
            <w:shd w:val="clear" w:color="auto" w:fill="auto"/>
            <w:noWrap/>
            <w:vAlign w:val="center"/>
            <w:hideMark/>
          </w:tcPr>
          <w:p w14:paraId="68F215E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r w:rsidR="00B41B29" w:rsidRPr="00ED46E3" w14:paraId="1BC972D5" w14:textId="77777777" w:rsidTr="00B41B29">
        <w:trPr>
          <w:trHeight w:val="195"/>
        </w:trPr>
        <w:tc>
          <w:tcPr>
            <w:tcW w:w="2410" w:type="dxa"/>
            <w:tcBorders>
              <w:top w:val="nil"/>
              <w:left w:val="nil"/>
              <w:bottom w:val="nil"/>
              <w:right w:val="nil"/>
            </w:tcBorders>
            <w:shd w:val="clear" w:color="DCE6F1" w:fill="DCE6F1"/>
            <w:vAlign w:val="center"/>
            <w:hideMark/>
          </w:tcPr>
          <w:p w14:paraId="530CEBFB" w14:textId="77777777" w:rsidR="00ED46E3" w:rsidRPr="00ED46E3" w:rsidRDefault="00ED46E3" w:rsidP="00ED46E3">
            <w:pPr>
              <w:spacing w:after="0" w:line="240" w:lineRule="auto"/>
              <w:rPr>
                <w:rFonts w:ascii="Arial" w:eastAsia="Times New Roman" w:hAnsi="Arial" w:cs="Arial"/>
                <w:sz w:val="16"/>
                <w:szCs w:val="16"/>
                <w:lang w:val="fr-FR" w:eastAsia="ja-JP"/>
              </w:rPr>
            </w:pPr>
            <w:proofErr w:type="spellStart"/>
            <w:r w:rsidRPr="00ED46E3">
              <w:rPr>
                <w:rFonts w:ascii="Arial" w:eastAsia="Times New Roman" w:hAnsi="Arial" w:cs="Arial"/>
                <w:sz w:val="16"/>
                <w:szCs w:val="16"/>
                <w:lang w:val="fr-FR" w:eastAsia="ja-JP"/>
              </w:rPr>
              <w:t>Medim</w:t>
            </w:r>
            <w:proofErr w:type="spellEnd"/>
            <w:r w:rsidRPr="00ED46E3">
              <w:rPr>
                <w:rFonts w:ascii="Arial" w:eastAsia="Times New Roman" w:hAnsi="Arial" w:cs="Arial"/>
                <w:sz w:val="16"/>
                <w:szCs w:val="16"/>
                <w:lang w:val="fr-FR" w:eastAsia="ja-JP"/>
              </w:rPr>
              <w:t xml:space="preserve"> </w:t>
            </w:r>
            <w:proofErr w:type="spellStart"/>
            <w:r w:rsidRPr="00ED46E3">
              <w:rPr>
                <w:rFonts w:ascii="Arial" w:eastAsia="Times New Roman" w:hAnsi="Arial" w:cs="Arial"/>
                <w:sz w:val="16"/>
                <w:szCs w:val="16"/>
                <w:lang w:val="fr-FR" w:eastAsia="ja-JP"/>
              </w:rPr>
              <w:t>Term</w:t>
            </w:r>
            <w:proofErr w:type="spellEnd"/>
            <w:r w:rsidRPr="00ED46E3">
              <w:rPr>
                <w:rFonts w:ascii="Arial" w:eastAsia="Times New Roman" w:hAnsi="Arial" w:cs="Arial"/>
                <w:sz w:val="16"/>
                <w:szCs w:val="16"/>
                <w:lang w:val="fr-FR" w:eastAsia="ja-JP"/>
              </w:rPr>
              <w:t xml:space="preserve"> Notes </w:t>
            </w:r>
          </w:p>
        </w:tc>
        <w:tc>
          <w:tcPr>
            <w:tcW w:w="992" w:type="dxa"/>
            <w:tcBorders>
              <w:top w:val="nil"/>
              <w:left w:val="nil"/>
              <w:bottom w:val="nil"/>
              <w:right w:val="nil"/>
            </w:tcBorders>
            <w:shd w:val="clear" w:color="DCE6F1" w:fill="DCE6F1"/>
            <w:noWrap/>
            <w:vAlign w:val="center"/>
            <w:hideMark/>
          </w:tcPr>
          <w:p w14:paraId="31C5EB8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DCE6F1" w:fill="DCE6F1"/>
            <w:noWrap/>
            <w:vAlign w:val="center"/>
            <w:hideMark/>
          </w:tcPr>
          <w:p w14:paraId="10E970B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1134" w:type="dxa"/>
            <w:tcBorders>
              <w:top w:val="nil"/>
              <w:left w:val="nil"/>
              <w:bottom w:val="nil"/>
              <w:right w:val="nil"/>
            </w:tcBorders>
            <w:shd w:val="clear" w:color="DCE6F1" w:fill="DCE6F1"/>
            <w:noWrap/>
            <w:vAlign w:val="center"/>
            <w:hideMark/>
          </w:tcPr>
          <w:p w14:paraId="6696BC34"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3</w:t>
            </w:r>
          </w:p>
        </w:tc>
        <w:tc>
          <w:tcPr>
            <w:tcW w:w="995" w:type="dxa"/>
            <w:tcBorders>
              <w:top w:val="nil"/>
              <w:left w:val="nil"/>
              <w:bottom w:val="nil"/>
              <w:right w:val="nil"/>
            </w:tcBorders>
            <w:shd w:val="clear" w:color="DCE6F1" w:fill="DCE6F1"/>
            <w:noWrap/>
            <w:vAlign w:val="center"/>
            <w:hideMark/>
          </w:tcPr>
          <w:p w14:paraId="3FBF03E9"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4</w:t>
            </w:r>
          </w:p>
        </w:tc>
        <w:tc>
          <w:tcPr>
            <w:tcW w:w="851" w:type="dxa"/>
            <w:tcBorders>
              <w:top w:val="nil"/>
              <w:left w:val="nil"/>
              <w:bottom w:val="nil"/>
              <w:right w:val="nil"/>
            </w:tcBorders>
            <w:shd w:val="clear" w:color="DCE6F1" w:fill="DCE6F1"/>
            <w:noWrap/>
            <w:vAlign w:val="center"/>
            <w:hideMark/>
          </w:tcPr>
          <w:p w14:paraId="1E05E680"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567" w:type="dxa"/>
            <w:tcBorders>
              <w:top w:val="nil"/>
              <w:left w:val="nil"/>
              <w:bottom w:val="nil"/>
              <w:right w:val="nil"/>
            </w:tcBorders>
            <w:shd w:val="clear" w:color="DCE6F1" w:fill="DCE6F1"/>
            <w:noWrap/>
            <w:vAlign w:val="center"/>
            <w:hideMark/>
          </w:tcPr>
          <w:p w14:paraId="636882B5"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4</w:t>
            </w:r>
          </w:p>
        </w:tc>
        <w:tc>
          <w:tcPr>
            <w:tcW w:w="708" w:type="dxa"/>
            <w:tcBorders>
              <w:top w:val="nil"/>
              <w:left w:val="nil"/>
              <w:bottom w:val="nil"/>
              <w:right w:val="nil"/>
            </w:tcBorders>
            <w:shd w:val="clear" w:color="DCE6F1" w:fill="DCE6F1"/>
            <w:noWrap/>
            <w:vAlign w:val="center"/>
            <w:hideMark/>
          </w:tcPr>
          <w:p w14:paraId="3B6B3B29"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3</w:t>
            </w:r>
          </w:p>
        </w:tc>
      </w:tr>
      <w:tr w:rsidR="00B41B29" w:rsidRPr="00ED46E3" w14:paraId="3F16D9CD" w14:textId="77777777" w:rsidTr="00B41B29">
        <w:trPr>
          <w:trHeight w:val="155"/>
        </w:trPr>
        <w:tc>
          <w:tcPr>
            <w:tcW w:w="2410" w:type="dxa"/>
            <w:tcBorders>
              <w:top w:val="nil"/>
              <w:left w:val="nil"/>
              <w:bottom w:val="nil"/>
              <w:right w:val="nil"/>
            </w:tcBorders>
            <w:shd w:val="clear" w:color="auto" w:fill="auto"/>
            <w:vAlign w:val="center"/>
            <w:hideMark/>
          </w:tcPr>
          <w:p w14:paraId="1A470E2D" w14:textId="77777777" w:rsidR="00ED46E3" w:rsidRPr="00ED46E3" w:rsidRDefault="00ED46E3" w:rsidP="00ED46E3">
            <w:pPr>
              <w:spacing w:after="0" w:line="240" w:lineRule="auto"/>
              <w:rPr>
                <w:rFonts w:ascii="Arial" w:eastAsia="Times New Roman" w:hAnsi="Arial" w:cs="Arial"/>
                <w:sz w:val="16"/>
                <w:szCs w:val="16"/>
                <w:lang w:val="fr-FR" w:eastAsia="ja-JP"/>
              </w:rPr>
            </w:pPr>
            <w:proofErr w:type="spellStart"/>
            <w:r w:rsidRPr="00ED46E3">
              <w:rPr>
                <w:rFonts w:ascii="Arial" w:eastAsia="Times New Roman" w:hAnsi="Arial" w:cs="Arial"/>
                <w:sz w:val="16"/>
                <w:szCs w:val="16"/>
                <w:lang w:val="fr-FR" w:eastAsia="ja-JP"/>
              </w:rPr>
              <w:t>Retail</w:t>
            </w:r>
            <w:proofErr w:type="spellEnd"/>
          </w:p>
        </w:tc>
        <w:tc>
          <w:tcPr>
            <w:tcW w:w="992" w:type="dxa"/>
            <w:tcBorders>
              <w:top w:val="nil"/>
              <w:left w:val="nil"/>
              <w:bottom w:val="nil"/>
              <w:right w:val="nil"/>
            </w:tcBorders>
            <w:shd w:val="clear" w:color="auto" w:fill="auto"/>
            <w:noWrap/>
            <w:vAlign w:val="center"/>
            <w:hideMark/>
          </w:tcPr>
          <w:p w14:paraId="32F7A20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auto" w:fill="auto"/>
            <w:noWrap/>
            <w:vAlign w:val="center"/>
            <w:hideMark/>
          </w:tcPr>
          <w:p w14:paraId="61108E0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1134" w:type="dxa"/>
            <w:tcBorders>
              <w:top w:val="nil"/>
              <w:left w:val="nil"/>
              <w:bottom w:val="nil"/>
              <w:right w:val="nil"/>
            </w:tcBorders>
            <w:shd w:val="clear" w:color="auto" w:fill="auto"/>
            <w:noWrap/>
            <w:vAlign w:val="center"/>
            <w:hideMark/>
          </w:tcPr>
          <w:p w14:paraId="5326BE4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995" w:type="dxa"/>
            <w:tcBorders>
              <w:top w:val="nil"/>
              <w:left w:val="nil"/>
              <w:bottom w:val="nil"/>
              <w:right w:val="nil"/>
            </w:tcBorders>
            <w:shd w:val="clear" w:color="auto" w:fill="auto"/>
            <w:noWrap/>
            <w:vAlign w:val="center"/>
            <w:hideMark/>
          </w:tcPr>
          <w:p w14:paraId="105E61B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nil"/>
              <w:right w:val="nil"/>
            </w:tcBorders>
            <w:shd w:val="clear" w:color="auto" w:fill="auto"/>
            <w:noWrap/>
            <w:vAlign w:val="center"/>
            <w:hideMark/>
          </w:tcPr>
          <w:p w14:paraId="0FD68A1C"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567" w:type="dxa"/>
            <w:tcBorders>
              <w:top w:val="nil"/>
              <w:left w:val="nil"/>
              <w:bottom w:val="nil"/>
              <w:right w:val="nil"/>
            </w:tcBorders>
            <w:shd w:val="clear" w:color="auto" w:fill="auto"/>
            <w:noWrap/>
            <w:vAlign w:val="center"/>
            <w:hideMark/>
          </w:tcPr>
          <w:p w14:paraId="347D209A"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708" w:type="dxa"/>
            <w:tcBorders>
              <w:top w:val="nil"/>
              <w:left w:val="nil"/>
              <w:bottom w:val="nil"/>
              <w:right w:val="nil"/>
            </w:tcBorders>
            <w:shd w:val="clear" w:color="auto" w:fill="auto"/>
            <w:noWrap/>
            <w:vAlign w:val="center"/>
            <w:hideMark/>
          </w:tcPr>
          <w:p w14:paraId="3F5871E9"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r>
      <w:tr w:rsidR="00B41B29" w:rsidRPr="00ED46E3" w14:paraId="4E45E6FE" w14:textId="77777777" w:rsidTr="00B41B29">
        <w:trPr>
          <w:trHeight w:val="243"/>
        </w:trPr>
        <w:tc>
          <w:tcPr>
            <w:tcW w:w="2410" w:type="dxa"/>
            <w:tcBorders>
              <w:top w:val="nil"/>
              <w:left w:val="nil"/>
              <w:bottom w:val="nil"/>
              <w:right w:val="nil"/>
            </w:tcBorders>
            <w:shd w:val="clear" w:color="DCE6F1" w:fill="DCE6F1"/>
            <w:vAlign w:val="center"/>
            <w:hideMark/>
          </w:tcPr>
          <w:p w14:paraId="6AAE655C" w14:textId="77777777" w:rsidR="00ED46E3" w:rsidRPr="00ED46E3" w:rsidRDefault="00ED46E3" w:rsidP="00ED46E3">
            <w:pPr>
              <w:spacing w:after="0" w:line="240" w:lineRule="auto"/>
              <w:rPr>
                <w:rFonts w:ascii="Arial" w:eastAsia="Times New Roman" w:hAnsi="Arial" w:cs="Arial"/>
                <w:b/>
                <w:bCs/>
                <w:sz w:val="16"/>
                <w:szCs w:val="16"/>
                <w:lang w:val="fr-FR" w:eastAsia="ja-JP"/>
              </w:rPr>
            </w:pPr>
            <w:proofErr w:type="spellStart"/>
            <w:r w:rsidRPr="00ED46E3">
              <w:rPr>
                <w:rFonts w:ascii="Arial" w:eastAsia="Times New Roman" w:hAnsi="Arial" w:cs="Arial"/>
                <w:b/>
                <w:bCs/>
                <w:sz w:val="16"/>
                <w:szCs w:val="16"/>
                <w:lang w:val="fr-FR" w:eastAsia="ja-JP"/>
              </w:rPr>
              <w:t>Debt</w:t>
            </w:r>
            <w:proofErr w:type="spellEnd"/>
            <w:r w:rsidRPr="00ED46E3">
              <w:rPr>
                <w:rFonts w:ascii="Arial" w:eastAsia="Times New Roman" w:hAnsi="Arial" w:cs="Arial"/>
                <w:b/>
                <w:bCs/>
                <w:sz w:val="16"/>
                <w:szCs w:val="16"/>
                <w:lang w:val="fr-FR" w:eastAsia="ja-JP"/>
              </w:rPr>
              <w:t xml:space="preserve"> Instruments</w:t>
            </w:r>
          </w:p>
        </w:tc>
        <w:tc>
          <w:tcPr>
            <w:tcW w:w="992" w:type="dxa"/>
            <w:tcBorders>
              <w:top w:val="nil"/>
              <w:left w:val="nil"/>
              <w:bottom w:val="nil"/>
              <w:right w:val="nil"/>
            </w:tcBorders>
            <w:shd w:val="clear" w:color="DCE6F1" w:fill="DCE6F1"/>
            <w:noWrap/>
            <w:vAlign w:val="center"/>
            <w:hideMark/>
          </w:tcPr>
          <w:p w14:paraId="3F737D19" w14:textId="77777777" w:rsidR="00ED46E3" w:rsidRPr="00ED46E3" w:rsidRDefault="00ED46E3" w:rsidP="00ED46E3">
            <w:pPr>
              <w:spacing w:after="0" w:line="240" w:lineRule="auto"/>
              <w:rPr>
                <w:rFonts w:ascii="Arial" w:eastAsia="Times New Roman" w:hAnsi="Arial" w:cs="Arial"/>
                <w:b/>
                <w:bCs/>
                <w:sz w:val="16"/>
                <w:szCs w:val="16"/>
                <w:lang w:val="fr-FR" w:eastAsia="ja-JP"/>
              </w:rPr>
            </w:pPr>
          </w:p>
        </w:tc>
        <w:tc>
          <w:tcPr>
            <w:tcW w:w="851" w:type="dxa"/>
            <w:tcBorders>
              <w:top w:val="nil"/>
              <w:left w:val="nil"/>
              <w:bottom w:val="nil"/>
              <w:right w:val="nil"/>
            </w:tcBorders>
            <w:shd w:val="clear" w:color="DCE6F1" w:fill="DCE6F1"/>
            <w:noWrap/>
            <w:vAlign w:val="center"/>
            <w:hideMark/>
          </w:tcPr>
          <w:p w14:paraId="4C92F98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1134" w:type="dxa"/>
            <w:tcBorders>
              <w:top w:val="nil"/>
              <w:left w:val="nil"/>
              <w:bottom w:val="nil"/>
              <w:right w:val="nil"/>
            </w:tcBorders>
            <w:shd w:val="clear" w:color="DCE6F1" w:fill="DCE6F1"/>
            <w:noWrap/>
            <w:vAlign w:val="center"/>
            <w:hideMark/>
          </w:tcPr>
          <w:p w14:paraId="3D7B9AE4"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995" w:type="dxa"/>
            <w:tcBorders>
              <w:top w:val="nil"/>
              <w:left w:val="nil"/>
              <w:bottom w:val="nil"/>
              <w:right w:val="nil"/>
            </w:tcBorders>
            <w:shd w:val="clear" w:color="DCE6F1" w:fill="DCE6F1"/>
            <w:noWrap/>
            <w:vAlign w:val="center"/>
            <w:hideMark/>
          </w:tcPr>
          <w:p w14:paraId="49F1F76B"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851" w:type="dxa"/>
            <w:tcBorders>
              <w:top w:val="nil"/>
              <w:left w:val="nil"/>
              <w:bottom w:val="nil"/>
              <w:right w:val="nil"/>
            </w:tcBorders>
            <w:shd w:val="clear" w:color="DCE6F1" w:fill="DCE6F1"/>
            <w:noWrap/>
            <w:vAlign w:val="center"/>
            <w:hideMark/>
          </w:tcPr>
          <w:p w14:paraId="62AD8E7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567" w:type="dxa"/>
            <w:tcBorders>
              <w:top w:val="nil"/>
              <w:left w:val="nil"/>
              <w:bottom w:val="nil"/>
              <w:right w:val="nil"/>
            </w:tcBorders>
            <w:shd w:val="clear" w:color="DCE6F1" w:fill="DCE6F1"/>
            <w:noWrap/>
            <w:vAlign w:val="center"/>
            <w:hideMark/>
          </w:tcPr>
          <w:p w14:paraId="37409B0B"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708" w:type="dxa"/>
            <w:tcBorders>
              <w:top w:val="nil"/>
              <w:left w:val="nil"/>
              <w:bottom w:val="nil"/>
              <w:right w:val="nil"/>
            </w:tcBorders>
            <w:shd w:val="clear" w:color="DCE6F1" w:fill="DCE6F1"/>
            <w:noWrap/>
            <w:vAlign w:val="center"/>
            <w:hideMark/>
          </w:tcPr>
          <w:p w14:paraId="4488C6F8"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r>
      <w:tr w:rsidR="00B41B29" w:rsidRPr="00ED46E3" w14:paraId="294E3F39" w14:textId="77777777" w:rsidTr="00B41B29">
        <w:trPr>
          <w:trHeight w:val="147"/>
        </w:trPr>
        <w:tc>
          <w:tcPr>
            <w:tcW w:w="2410" w:type="dxa"/>
            <w:tcBorders>
              <w:top w:val="nil"/>
              <w:left w:val="nil"/>
              <w:bottom w:val="single" w:sz="4" w:space="0" w:color="4F81BD"/>
              <w:right w:val="nil"/>
            </w:tcBorders>
            <w:shd w:val="clear" w:color="auto" w:fill="auto"/>
            <w:vAlign w:val="center"/>
            <w:hideMark/>
          </w:tcPr>
          <w:p w14:paraId="6ABB8260" w14:textId="77777777" w:rsidR="00ED46E3" w:rsidRPr="00ED46E3" w:rsidRDefault="00ED46E3" w:rsidP="00ED46E3">
            <w:pPr>
              <w:spacing w:after="0" w:line="240" w:lineRule="auto"/>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Bonds</w:t>
            </w:r>
          </w:p>
        </w:tc>
        <w:tc>
          <w:tcPr>
            <w:tcW w:w="992" w:type="dxa"/>
            <w:tcBorders>
              <w:top w:val="nil"/>
              <w:left w:val="nil"/>
              <w:bottom w:val="single" w:sz="4" w:space="0" w:color="4F81BD"/>
              <w:right w:val="nil"/>
            </w:tcBorders>
            <w:shd w:val="clear" w:color="auto" w:fill="auto"/>
            <w:noWrap/>
            <w:vAlign w:val="center"/>
            <w:hideMark/>
          </w:tcPr>
          <w:p w14:paraId="3685907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single" w:sz="4" w:space="0" w:color="4F81BD"/>
              <w:right w:val="nil"/>
            </w:tcBorders>
            <w:shd w:val="clear" w:color="auto" w:fill="auto"/>
            <w:noWrap/>
            <w:vAlign w:val="center"/>
            <w:hideMark/>
          </w:tcPr>
          <w:p w14:paraId="3D04EFAA"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1134" w:type="dxa"/>
            <w:tcBorders>
              <w:top w:val="nil"/>
              <w:left w:val="nil"/>
              <w:bottom w:val="single" w:sz="4" w:space="0" w:color="4F81BD"/>
              <w:right w:val="nil"/>
            </w:tcBorders>
            <w:shd w:val="clear" w:color="auto" w:fill="auto"/>
            <w:noWrap/>
            <w:vAlign w:val="center"/>
            <w:hideMark/>
          </w:tcPr>
          <w:p w14:paraId="016B27F3"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995" w:type="dxa"/>
            <w:tcBorders>
              <w:top w:val="nil"/>
              <w:left w:val="nil"/>
              <w:bottom w:val="single" w:sz="4" w:space="0" w:color="4F81BD"/>
              <w:right w:val="nil"/>
            </w:tcBorders>
            <w:shd w:val="clear" w:color="auto" w:fill="auto"/>
            <w:noWrap/>
            <w:vAlign w:val="center"/>
            <w:hideMark/>
          </w:tcPr>
          <w:p w14:paraId="06E84AE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single" w:sz="4" w:space="0" w:color="4F81BD"/>
              <w:right w:val="nil"/>
            </w:tcBorders>
            <w:shd w:val="clear" w:color="auto" w:fill="auto"/>
            <w:noWrap/>
            <w:vAlign w:val="center"/>
            <w:hideMark/>
          </w:tcPr>
          <w:p w14:paraId="188F420A"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567" w:type="dxa"/>
            <w:tcBorders>
              <w:top w:val="nil"/>
              <w:left w:val="nil"/>
              <w:bottom w:val="single" w:sz="4" w:space="0" w:color="4F81BD"/>
              <w:right w:val="nil"/>
            </w:tcBorders>
            <w:shd w:val="clear" w:color="auto" w:fill="auto"/>
            <w:noWrap/>
            <w:vAlign w:val="center"/>
            <w:hideMark/>
          </w:tcPr>
          <w:p w14:paraId="4AE533B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708" w:type="dxa"/>
            <w:tcBorders>
              <w:top w:val="nil"/>
              <w:left w:val="nil"/>
              <w:bottom w:val="single" w:sz="4" w:space="0" w:color="4F81BD"/>
              <w:right w:val="nil"/>
            </w:tcBorders>
            <w:shd w:val="clear" w:color="auto" w:fill="auto"/>
            <w:noWrap/>
            <w:vAlign w:val="center"/>
            <w:hideMark/>
          </w:tcPr>
          <w:p w14:paraId="55FEC16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r w:rsidR="00974792" w:rsidRPr="00ED46E3" w14:paraId="4D5ED7B7" w14:textId="77777777" w:rsidTr="00B41B29">
        <w:trPr>
          <w:trHeight w:val="98"/>
        </w:trPr>
        <w:tc>
          <w:tcPr>
            <w:tcW w:w="2410" w:type="dxa"/>
            <w:tcBorders>
              <w:top w:val="nil"/>
              <w:left w:val="nil"/>
              <w:bottom w:val="nil"/>
              <w:right w:val="nil"/>
            </w:tcBorders>
            <w:shd w:val="clear" w:color="000000" w:fill="8DB4E2"/>
            <w:vAlign w:val="center"/>
            <w:hideMark/>
          </w:tcPr>
          <w:p w14:paraId="39DC2707"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proofErr w:type="spellStart"/>
            <w:r w:rsidRPr="00ED46E3">
              <w:rPr>
                <w:rFonts w:ascii="Arial" w:eastAsia="Times New Roman" w:hAnsi="Arial" w:cs="Arial"/>
                <w:b/>
                <w:bCs/>
                <w:color w:val="FFFFFF"/>
                <w:sz w:val="16"/>
                <w:szCs w:val="16"/>
                <w:lang w:val="fr-FR" w:eastAsia="ja-JP"/>
              </w:rPr>
              <w:t>Equity</w:t>
            </w:r>
            <w:proofErr w:type="spellEnd"/>
          </w:p>
        </w:tc>
        <w:tc>
          <w:tcPr>
            <w:tcW w:w="992" w:type="dxa"/>
            <w:tcBorders>
              <w:top w:val="nil"/>
              <w:left w:val="nil"/>
              <w:bottom w:val="nil"/>
              <w:right w:val="nil"/>
            </w:tcBorders>
            <w:shd w:val="clear" w:color="000000" w:fill="8DB4E2"/>
            <w:vAlign w:val="center"/>
            <w:hideMark/>
          </w:tcPr>
          <w:p w14:paraId="4DD20FA8"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851" w:type="dxa"/>
            <w:tcBorders>
              <w:top w:val="nil"/>
              <w:left w:val="nil"/>
              <w:bottom w:val="nil"/>
              <w:right w:val="nil"/>
            </w:tcBorders>
            <w:shd w:val="clear" w:color="000000" w:fill="8DB4E2"/>
            <w:vAlign w:val="center"/>
            <w:hideMark/>
          </w:tcPr>
          <w:p w14:paraId="0EAF9140"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1134" w:type="dxa"/>
            <w:tcBorders>
              <w:top w:val="nil"/>
              <w:left w:val="nil"/>
              <w:bottom w:val="nil"/>
              <w:right w:val="nil"/>
            </w:tcBorders>
            <w:shd w:val="clear" w:color="000000" w:fill="8DB4E2"/>
            <w:vAlign w:val="center"/>
            <w:hideMark/>
          </w:tcPr>
          <w:p w14:paraId="00640957"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995" w:type="dxa"/>
            <w:tcBorders>
              <w:top w:val="nil"/>
              <w:left w:val="nil"/>
              <w:bottom w:val="nil"/>
              <w:right w:val="nil"/>
            </w:tcBorders>
            <w:shd w:val="clear" w:color="000000" w:fill="8DB4E2"/>
            <w:vAlign w:val="center"/>
            <w:hideMark/>
          </w:tcPr>
          <w:p w14:paraId="18C6EDDA"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851" w:type="dxa"/>
            <w:tcBorders>
              <w:top w:val="nil"/>
              <w:left w:val="nil"/>
              <w:bottom w:val="nil"/>
              <w:right w:val="nil"/>
            </w:tcBorders>
            <w:shd w:val="clear" w:color="000000" w:fill="8DB4E2"/>
            <w:vAlign w:val="center"/>
            <w:hideMark/>
          </w:tcPr>
          <w:p w14:paraId="229F9439"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567" w:type="dxa"/>
            <w:tcBorders>
              <w:top w:val="nil"/>
              <w:left w:val="nil"/>
              <w:bottom w:val="nil"/>
              <w:right w:val="nil"/>
            </w:tcBorders>
            <w:shd w:val="clear" w:color="000000" w:fill="8DB4E2"/>
            <w:vAlign w:val="center"/>
            <w:hideMark/>
          </w:tcPr>
          <w:p w14:paraId="5F061040"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708" w:type="dxa"/>
            <w:tcBorders>
              <w:top w:val="nil"/>
              <w:left w:val="nil"/>
              <w:bottom w:val="nil"/>
              <w:right w:val="nil"/>
            </w:tcBorders>
            <w:shd w:val="clear" w:color="000000" w:fill="8DB4E2"/>
            <w:vAlign w:val="center"/>
            <w:hideMark/>
          </w:tcPr>
          <w:p w14:paraId="06AA467D"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r>
      <w:tr w:rsidR="00B41B29" w:rsidRPr="00ED46E3" w14:paraId="0FCAD726" w14:textId="77777777" w:rsidTr="00B41B29">
        <w:trPr>
          <w:trHeight w:val="53"/>
        </w:trPr>
        <w:tc>
          <w:tcPr>
            <w:tcW w:w="2410" w:type="dxa"/>
            <w:tcBorders>
              <w:top w:val="single" w:sz="4" w:space="0" w:color="4F81BD"/>
              <w:left w:val="nil"/>
              <w:bottom w:val="nil"/>
              <w:right w:val="nil"/>
            </w:tcBorders>
            <w:shd w:val="clear" w:color="DCE6F1" w:fill="DCE6F1"/>
            <w:vAlign w:val="center"/>
            <w:hideMark/>
          </w:tcPr>
          <w:p w14:paraId="4A866B0F" w14:textId="77777777" w:rsidR="00ED46E3" w:rsidRPr="00ED46E3" w:rsidRDefault="00ED46E3" w:rsidP="00ED46E3">
            <w:pPr>
              <w:spacing w:after="0" w:line="240" w:lineRule="auto"/>
              <w:rPr>
                <w:rFonts w:ascii="Arial" w:eastAsia="Times New Roman" w:hAnsi="Arial" w:cs="Arial"/>
                <w:b/>
                <w:bCs/>
                <w:sz w:val="16"/>
                <w:szCs w:val="16"/>
                <w:lang w:val="fr-FR" w:eastAsia="ja-JP"/>
              </w:rPr>
            </w:pPr>
            <w:proofErr w:type="spellStart"/>
            <w:r w:rsidRPr="00ED46E3">
              <w:rPr>
                <w:rFonts w:ascii="Arial" w:eastAsia="Times New Roman" w:hAnsi="Arial" w:cs="Arial"/>
                <w:b/>
                <w:bCs/>
                <w:sz w:val="16"/>
                <w:szCs w:val="16"/>
                <w:lang w:val="fr-FR" w:eastAsia="ja-JP"/>
              </w:rPr>
              <w:t>Equity</w:t>
            </w:r>
            <w:proofErr w:type="spellEnd"/>
            <w:r w:rsidRPr="00ED46E3">
              <w:rPr>
                <w:rFonts w:ascii="Arial" w:eastAsia="Times New Roman" w:hAnsi="Arial" w:cs="Arial"/>
                <w:b/>
                <w:bCs/>
                <w:sz w:val="16"/>
                <w:szCs w:val="16"/>
                <w:lang w:val="fr-FR" w:eastAsia="ja-JP"/>
              </w:rPr>
              <w:t xml:space="preserve"> </w:t>
            </w:r>
            <w:proofErr w:type="spellStart"/>
            <w:r w:rsidRPr="00ED46E3">
              <w:rPr>
                <w:rFonts w:ascii="Arial" w:eastAsia="Times New Roman" w:hAnsi="Arial" w:cs="Arial"/>
                <w:b/>
                <w:bCs/>
                <w:sz w:val="16"/>
                <w:szCs w:val="16"/>
                <w:lang w:val="fr-FR" w:eastAsia="ja-JP"/>
              </w:rPr>
              <w:t>Derivatives</w:t>
            </w:r>
            <w:proofErr w:type="spellEnd"/>
          </w:p>
        </w:tc>
        <w:tc>
          <w:tcPr>
            <w:tcW w:w="992" w:type="dxa"/>
            <w:tcBorders>
              <w:top w:val="single" w:sz="4" w:space="0" w:color="4F81BD"/>
              <w:left w:val="nil"/>
              <w:bottom w:val="nil"/>
              <w:right w:val="nil"/>
            </w:tcBorders>
            <w:shd w:val="clear" w:color="DCE6F1" w:fill="DCE6F1"/>
            <w:noWrap/>
            <w:vAlign w:val="center"/>
            <w:hideMark/>
          </w:tcPr>
          <w:p w14:paraId="21C607A7" w14:textId="77777777" w:rsidR="00ED46E3" w:rsidRPr="00ED46E3" w:rsidRDefault="00ED46E3" w:rsidP="00ED46E3">
            <w:pPr>
              <w:spacing w:after="0" w:line="240" w:lineRule="auto"/>
              <w:rPr>
                <w:rFonts w:ascii="Arial" w:eastAsia="Times New Roman" w:hAnsi="Arial" w:cs="Arial"/>
                <w:b/>
                <w:bCs/>
                <w:sz w:val="16"/>
                <w:szCs w:val="16"/>
                <w:lang w:val="fr-FR" w:eastAsia="ja-JP"/>
              </w:rPr>
            </w:pPr>
          </w:p>
        </w:tc>
        <w:tc>
          <w:tcPr>
            <w:tcW w:w="851" w:type="dxa"/>
            <w:tcBorders>
              <w:top w:val="single" w:sz="4" w:space="0" w:color="4F81BD"/>
              <w:left w:val="nil"/>
              <w:bottom w:val="nil"/>
              <w:right w:val="nil"/>
            </w:tcBorders>
            <w:shd w:val="clear" w:color="DCE6F1" w:fill="DCE6F1"/>
            <w:noWrap/>
            <w:vAlign w:val="center"/>
            <w:hideMark/>
          </w:tcPr>
          <w:p w14:paraId="4520460B"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1134" w:type="dxa"/>
            <w:tcBorders>
              <w:top w:val="single" w:sz="4" w:space="0" w:color="4F81BD"/>
              <w:left w:val="nil"/>
              <w:bottom w:val="nil"/>
              <w:right w:val="nil"/>
            </w:tcBorders>
            <w:shd w:val="clear" w:color="DCE6F1" w:fill="DCE6F1"/>
            <w:noWrap/>
            <w:vAlign w:val="center"/>
            <w:hideMark/>
          </w:tcPr>
          <w:p w14:paraId="022BEC9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995" w:type="dxa"/>
            <w:tcBorders>
              <w:top w:val="single" w:sz="4" w:space="0" w:color="4F81BD"/>
              <w:left w:val="nil"/>
              <w:bottom w:val="nil"/>
              <w:right w:val="nil"/>
            </w:tcBorders>
            <w:shd w:val="clear" w:color="DCE6F1" w:fill="DCE6F1"/>
            <w:noWrap/>
            <w:vAlign w:val="center"/>
            <w:hideMark/>
          </w:tcPr>
          <w:p w14:paraId="6A1F1E9C"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851" w:type="dxa"/>
            <w:tcBorders>
              <w:top w:val="single" w:sz="4" w:space="0" w:color="4F81BD"/>
              <w:left w:val="nil"/>
              <w:bottom w:val="nil"/>
              <w:right w:val="nil"/>
            </w:tcBorders>
            <w:shd w:val="clear" w:color="DCE6F1" w:fill="DCE6F1"/>
            <w:noWrap/>
            <w:vAlign w:val="center"/>
            <w:hideMark/>
          </w:tcPr>
          <w:p w14:paraId="46E63FC2"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567" w:type="dxa"/>
            <w:tcBorders>
              <w:top w:val="single" w:sz="4" w:space="0" w:color="4F81BD"/>
              <w:left w:val="nil"/>
              <w:bottom w:val="nil"/>
              <w:right w:val="nil"/>
            </w:tcBorders>
            <w:shd w:val="clear" w:color="DCE6F1" w:fill="DCE6F1"/>
            <w:noWrap/>
            <w:vAlign w:val="center"/>
            <w:hideMark/>
          </w:tcPr>
          <w:p w14:paraId="0A28D45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708" w:type="dxa"/>
            <w:tcBorders>
              <w:top w:val="single" w:sz="4" w:space="0" w:color="4F81BD"/>
              <w:left w:val="nil"/>
              <w:bottom w:val="nil"/>
              <w:right w:val="nil"/>
            </w:tcBorders>
            <w:shd w:val="clear" w:color="DCE6F1" w:fill="DCE6F1"/>
            <w:noWrap/>
            <w:vAlign w:val="center"/>
            <w:hideMark/>
          </w:tcPr>
          <w:p w14:paraId="5B66BF6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r>
      <w:tr w:rsidR="00B41B29" w:rsidRPr="00ED46E3" w14:paraId="224745A0" w14:textId="77777777" w:rsidTr="00B41B29">
        <w:trPr>
          <w:trHeight w:val="283"/>
        </w:trPr>
        <w:tc>
          <w:tcPr>
            <w:tcW w:w="2410" w:type="dxa"/>
            <w:tcBorders>
              <w:top w:val="nil"/>
              <w:left w:val="nil"/>
              <w:bottom w:val="nil"/>
              <w:right w:val="nil"/>
            </w:tcBorders>
            <w:shd w:val="clear" w:color="auto" w:fill="auto"/>
            <w:vAlign w:val="center"/>
            <w:hideMark/>
          </w:tcPr>
          <w:p w14:paraId="73AC8DC4" w14:textId="77777777" w:rsidR="00ED46E3" w:rsidRPr="00ED46E3" w:rsidRDefault="00ED46E3" w:rsidP="00ED46E3">
            <w:pPr>
              <w:spacing w:after="0" w:line="240" w:lineRule="auto"/>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Swaps and other equity derivatives</w:t>
            </w:r>
          </w:p>
        </w:tc>
        <w:tc>
          <w:tcPr>
            <w:tcW w:w="992" w:type="dxa"/>
            <w:tcBorders>
              <w:top w:val="nil"/>
              <w:left w:val="nil"/>
              <w:bottom w:val="nil"/>
              <w:right w:val="nil"/>
            </w:tcBorders>
            <w:shd w:val="clear" w:color="auto" w:fill="auto"/>
            <w:noWrap/>
            <w:vAlign w:val="center"/>
            <w:hideMark/>
          </w:tcPr>
          <w:p w14:paraId="3DC7848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auto" w:fill="auto"/>
            <w:noWrap/>
            <w:vAlign w:val="center"/>
            <w:hideMark/>
          </w:tcPr>
          <w:p w14:paraId="2A34E1E0"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1134" w:type="dxa"/>
            <w:tcBorders>
              <w:top w:val="nil"/>
              <w:left w:val="nil"/>
              <w:bottom w:val="nil"/>
              <w:right w:val="nil"/>
            </w:tcBorders>
            <w:shd w:val="clear" w:color="auto" w:fill="auto"/>
            <w:noWrap/>
            <w:vAlign w:val="center"/>
            <w:hideMark/>
          </w:tcPr>
          <w:p w14:paraId="49CA213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995" w:type="dxa"/>
            <w:tcBorders>
              <w:top w:val="nil"/>
              <w:left w:val="nil"/>
              <w:bottom w:val="nil"/>
              <w:right w:val="nil"/>
            </w:tcBorders>
            <w:shd w:val="clear" w:color="auto" w:fill="auto"/>
            <w:noWrap/>
            <w:vAlign w:val="center"/>
            <w:hideMark/>
          </w:tcPr>
          <w:p w14:paraId="6A6A43A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auto" w:fill="auto"/>
            <w:noWrap/>
            <w:vAlign w:val="center"/>
            <w:hideMark/>
          </w:tcPr>
          <w:p w14:paraId="09B3433B"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567" w:type="dxa"/>
            <w:tcBorders>
              <w:top w:val="nil"/>
              <w:left w:val="nil"/>
              <w:bottom w:val="nil"/>
              <w:right w:val="nil"/>
            </w:tcBorders>
            <w:shd w:val="clear" w:color="auto" w:fill="auto"/>
            <w:noWrap/>
            <w:vAlign w:val="center"/>
            <w:hideMark/>
          </w:tcPr>
          <w:p w14:paraId="3D26D9D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N/A</w:t>
            </w:r>
          </w:p>
        </w:tc>
        <w:tc>
          <w:tcPr>
            <w:tcW w:w="708" w:type="dxa"/>
            <w:tcBorders>
              <w:top w:val="nil"/>
              <w:left w:val="nil"/>
              <w:bottom w:val="nil"/>
              <w:right w:val="nil"/>
            </w:tcBorders>
            <w:shd w:val="clear" w:color="auto" w:fill="auto"/>
            <w:noWrap/>
            <w:vAlign w:val="center"/>
            <w:hideMark/>
          </w:tcPr>
          <w:p w14:paraId="167F0749"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r w:rsidR="00B41B29" w:rsidRPr="00ED46E3" w14:paraId="065AD678" w14:textId="77777777" w:rsidTr="00B41B29">
        <w:trPr>
          <w:trHeight w:val="189"/>
        </w:trPr>
        <w:tc>
          <w:tcPr>
            <w:tcW w:w="2410" w:type="dxa"/>
            <w:tcBorders>
              <w:top w:val="nil"/>
              <w:left w:val="nil"/>
              <w:bottom w:val="single" w:sz="4" w:space="0" w:color="4F81BD"/>
              <w:right w:val="nil"/>
            </w:tcBorders>
            <w:shd w:val="clear" w:color="DCE6F1" w:fill="DCE6F1"/>
            <w:vAlign w:val="center"/>
            <w:hideMark/>
          </w:tcPr>
          <w:p w14:paraId="2346D741" w14:textId="77777777" w:rsidR="00ED46E3" w:rsidRPr="00ED46E3" w:rsidRDefault="00ED46E3" w:rsidP="00ED46E3">
            <w:pPr>
              <w:spacing w:after="0" w:line="240" w:lineRule="auto"/>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Convertibles</w:t>
            </w:r>
          </w:p>
        </w:tc>
        <w:tc>
          <w:tcPr>
            <w:tcW w:w="992" w:type="dxa"/>
            <w:tcBorders>
              <w:top w:val="nil"/>
              <w:left w:val="nil"/>
              <w:bottom w:val="single" w:sz="4" w:space="0" w:color="4F81BD"/>
              <w:right w:val="nil"/>
            </w:tcBorders>
            <w:shd w:val="clear" w:color="DCE6F1" w:fill="DCE6F1"/>
            <w:noWrap/>
            <w:vAlign w:val="center"/>
            <w:hideMark/>
          </w:tcPr>
          <w:p w14:paraId="6FBCA11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single" w:sz="4" w:space="0" w:color="4F81BD"/>
              <w:right w:val="nil"/>
            </w:tcBorders>
            <w:shd w:val="clear" w:color="DCE6F1" w:fill="DCE6F1"/>
            <w:noWrap/>
            <w:vAlign w:val="center"/>
            <w:hideMark/>
          </w:tcPr>
          <w:p w14:paraId="327BFBD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1134" w:type="dxa"/>
            <w:tcBorders>
              <w:top w:val="nil"/>
              <w:left w:val="nil"/>
              <w:bottom w:val="single" w:sz="4" w:space="0" w:color="4F81BD"/>
              <w:right w:val="nil"/>
            </w:tcBorders>
            <w:shd w:val="clear" w:color="DCE6F1" w:fill="DCE6F1"/>
            <w:noWrap/>
            <w:vAlign w:val="center"/>
            <w:hideMark/>
          </w:tcPr>
          <w:p w14:paraId="5978577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995" w:type="dxa"/>
            <w:tcBorders>
              <w:top w:val="nil"/>
              <w:left w:val="nil"/>
              <w:bottom w:val="single" w:sz="4" w:space="0" w:color="4F81BD"/>
              <w:right w:val="nil"/>
            </w:tcBorders>
            <w:shd w:val="clear" w:color="DCE6F1" w:fill="DCE6F1"/>
            <w:noWrap/>
            <w:vAlign w:val="center"/>
            <w:hideMark/>
          </w:tcPr>
          <w:p w14:paraId="78C06890"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single" w:sz="4" w:space="0" w:color="4F81BD"/>
              <w:right w:val="nil"/>
            </w:tcBorders>
            <w:shd w:val="clear" w:color="DCE6F1" w:fill="DCE6F1"/>
            <w:noWrap/>
            <w:vAlign w:val="center"/>
            <w:hideMark/>
          </w:tcPr>
          <w:p w14:paraId="08785194"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567" w:type="dxa"/>
            <w:tcBorders>
              <w:top w:val="nil"/>
              <w:left w:val="nil"/>
              <w:bottom w:val="single" w:sz="4" w:space="0" w:color="4F81BD"/>
              <w:right w:val="nil"/>
            </w:tcBorders>
            <w:shd w:val="clear" w:color="DCE6F1" w:fill="DCE6F1"/>
            <w:noWrap/>
            <w:vAlign w:val="center"/>
            <w:hideMark/>
          </w:tcPr>
          <w:p w14:paraId="0ADE589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N/A</w:t>
            </w:r>
          </w:p>
        </w:tc>
        <w:tc>
          <w:tcPr>
            <w:tcW w:w="708" w:type="dxa"/>
            <w:tcBorders>
              <w:top w:val="nil"/>
              <w:left w:val="nil"/>
              <w:bottom w:val="single" w:sz="4" w:space="0" w:color="4F81BD"/>
              <w:right w:val="nil"/>
            </w:tcBorders>
            <w:shd w:val="clear" w:color="DCE6F1" w:fill="DCE6F1"/>
            <w:noWrap/>
            <w:vAlign w:val="center"/>
            <w:hideMark/>
          </w:tcPr>
          <w:p w14:paraId="0EF9205A"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r w:rsidR="00ED46E3" w:rsidRPr="00ED46E3" w14:paraId="3AC13A3D" w14:textId="77777777" w:rsidTr="00B41B29">
        <w:trPr>
          <w:trHeight w:val="281"/>
        </w:trPr>
        <w:tc>
          <w:tcPr>
            <w:tcW w:w="8508" w:type="dxa"/>
            <w:gridSpan w:val="8"/>
            <w:tcBorders>
              <w:top w:val="nil"/>
              <w:left w:val="nil"/>
              <w:bottom w:val="nil"/>
              <w:right w:val="nil"/>
            </w:tcBorders>
            <w:shd w:val="clear" w:color="000000" w:fill="8DB4E2"/>
            <w:vAlign w:val="center"/>
            <w:hideMark/>
          </w:tcPr>
          <w:p w14:paraId="65E26ECA"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Rates</w:t>
            </w:r>
          </w:p>
        </w:tc>
      </w:tr>
      <w:tr w:rsidR="00B41B29" w:rsidRPr="00ED46E3" w14:paraId="3A571C5C" w14:textId="77777777" w:rsidTr="00B41B29">
        <w:trPr>
          <w:trHeight w:val="130"/>
        </w:trPr>
        <w:tc>
          <w:tcPr>
            <w:tcW w:w="2410" w:type="dxa"/>
            <w:tcBorders>
              <w:top w:val="single" w:sz="4" w:space="0" w:color="4F81BD"/>
              <w:left w:val="nil"/>
              <w:bottom w:val="nil"/>
              <w:right w:val="nil"/>
            </w:tcBorders>
            <w:shd w:val="clear" w:color="DCE6F1" w:fill="DCE6F1"/>
            <w:vAlign w:val="center"/>
            <w:hideMark/>
          </w:tcPr>
          <w:p w14:paraId="21E3FD7E" w14:textId="77777777" w:rsidR="00ED46E3" w:rsidRPr="00ED46E3" w:rsidRDefault="00ED46E3" w:rsidP="00ED46E3">
            <w:pPr>
              <w:spacing w:after="0" w:line="240" w:lineRule="auto"/>
              <w:rPr>
                <w:rFonts w:ascii="Arial" w:eastAsia="Times New Roman" w:hAnsi="Arial" w:cs="Arial"/>
                <w:b/>
                <w:bCs/>
                <w:sz w:val="16"/>
                <w:szCs w:val="16"/>
                <w:lang w:val="fr-FR" w:eastAsia="ja-JP"/>
              </w:rPr>
            </w:pPr>
            <w:proofErr w:type="spellStart"/>
            <w:r w:rsidRPr="00ED46E3">
              <w:rPr>
                <w:rFonts w:ascii="Arial" w:eastAsia="Times New Roman" w:hAnsi="Arial" w:cs="Arial"/>
                <w:b/>
                <w:bCs/>
                <w:sz w:val="16"/>
                <w:szCs w:val="16"/>
                <w:lang w:val="fr-FR" w:eastAsia="ja-JP"/>
              </w:rPr>
              <w:t>Interest</w:t>
            </w:r>
            <w:proofErr w:type="spellEnd"/>
            <w:r w:rsidRPr="00ED46E3">
              <w:rPr>
                <w:rFonts w:ascii="Arial" w:eastAsia="Times New Roman" w:hAnsi="Arial" w:cs="Arial"/>
                <w:b/>
                <w:bCs/>
                <w:sz w:val="16"/>
                <w:szCs w:val="16"/>
                <w:lang w:val="fr-FR" w:eastAsia="ja-JP"/>
              </w:rPr>
              <w:t xml:space="preserve"> rates </w:t>
            </w:r>
            <w:proofErr w:type="spellStart"/>
            <w:r w:rsidRPr="00ED46E3">
              <w:rPr>
                <w:rFonts w:ascii="Arial" w:eastAsia="Times New Roman" w:hAnsi="Arial" w:cs="Arial"/>
                <w:b/>
                <w:bCs/>
                <w:sz w:val="16"/>
                <w:szCs w:val="16"/>
                <w:lang w:val="fr-FR" w:eastAsia="ja-JP"/>
              </w:rPr>
              <w:t>derivatives</w:t>
            </w:r>
            <w:proofErr w:type="spellEnd"/>
          </w:p>
        </w:tc>
        <w:tc>
          <w:tcPr>
            <w:tcW w:w="992" w:type="dxa"/>
            <w:tcBorders>
              <w:top w:val="single" w:sz="4" w:space="0" w:color="4F81BD"/>
              <w:left w:val="nil"/>
              <w:bottom w:val="nil"/>
              <w:right w:val="nil"/>
            </w:tcBorders>
            <w:shd w:val="clear" w:color="DCE6F1" w:fill="DCE6F1"/>
            <w:noWrap/>
            <w:vAlign w:val="center"/>
            <w:hideMark/>
          </w:tcPr>
          <w:p w14:paraId="4280A19E" w14:textId="77777777" w:rsidR="00ED46E3" w:rsidRPr="00ED46E3" w:rsidRDefault="00ED46E3" w:rsidP="00ED46E3">
            <w:pPr>
              <w:spacing w:after="0" w:line="240" w:lineRule="auto"/>
              <w:rPr>
                <w:rFonts w:ascii="Arial" w:eastAsia="Times New Roman" w:hAnsi="Arial" w:cs="Arial"/>
                <w:b/>
                <w:bCs/>
                <w:sz w:val="16"/>
                <w:szCs w:val="16"/>
                <w:lang w:val="fr-FR" w:eastAsia="ja-JP"/>
              </w:rPr>
            </w:pPr>
          </w:p>
        </w:tc>
        <w:tc>
          <w:tcPr>
            <w:tcW w:w="851" w:type="dxa"/>
            <w:tcBorders>
              <w:top w:val="single" w:sz="4" w:space="0" w:color="4F81BD"/>
              <w:left w:val="nil"/>
              <w:bottom w:val="nil"/>
              <w:right w:val="nil"/>
            </w:tcBorders>
            <w:shd w:val="clear" w:color="DCE6F1" w:fill="DCE6F1"/>
            <w:noWrap/>
            <w:vAlign w:val="center"/>
            <w:hideMark/>
          </w:tcPr>
          <w:p w14:paraId="5BC4F1E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1134" w:type="dxa"/>
            <w:tcBorders>
              <w:top w:val="single" w:sz="4" w:space="0" w:color="4F81BD"/>
              <w:left w:val="nil"/>
              <w:bottom w:val="nil"/>
              <w:right w:val="nil"/>
            </w:tcBorders>
            <w:shd w:val="clear" w:color="DCE6F1" w:fill="DCE6F1"/>
            <w:noWrap/>
            <w:vAlign w:val="center"/>
            <w:hideMark/>
          </w:tcPr>
          <w:p w14:paraId="2D802985"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995" w:type="dxa"/>
            <w:tcBorders>
              <w:top w:val="single" w:sz="4" w:space="0" w:color="4F81BD"/>
              <w:left w:val="nil"/>
              <w:bottom w:val="nil"/>
              <w:right w:val="nil"/>
            </w:tcBorders>
            <w:shd w:val="clear" w:color="DCE6F1" w:fill="DCE6F1"/>
            <w:noWrap/>
            <w:vAlign w:val="center"/>
            <w:hideMark/>
          </w:tcPr>
          <w:p w14:paraId="28C5928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851" w:type="dxa"/>
            <w:tcBorders>
              <w:top w:val="single" w:sz="4" w:space="0" w:color="4F81BD"/>
              <w:left w:val="nil"/>
              <w:bottom w:val="nil"/>
              <w:right w:val="nil"/>
            </w:tcBorders>
            <w:shd w:val="clear" w:color="DCE6F1" w:fill="DCE6F1"/>
            <w:noWrap/>
            <w:vAlign w:val="center"/>
            <w:hideMark/>
          </w:tcPr>
          <w:p w14:paraId="3E94371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567" w:type="dxa"/>
            <w:tcBorders>
              <w:top w:val="single" w:sz="4" w:space="0" w:color="4F81BD"/>
              <w:left w:val="nil"/>
              <w:bottom w:val="nil"/>
              <w:right w:val="nil"/>
            </w:tcBorders>
            <w:shd w:val="clear" w:color="DCE6F1" w:fill="DCE6F1"/>
            <w:noWrap/>
            <w:vAlign w:val="center"/>
            <w:hideMark/>
          </w:tcPr>
          <w:p w14:paraId="57133218"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708" w:type="dxa"/>
            <w:tcBorders>
              <w:top w:val="single" w:sz="4" w:space="0" w:color="4F81BD"/>
              <w:left w:val="nil"/>
              <w:bottom w:val="nil"/>
              <w:right w:val="nil"/>
            </w:tcBorders>
            <w:shd w:val="clear" w:color="DCE6F1" w:fill="DCE6F1"/>
            <w:noWrap/>
            <w:vAlign w:val="center"/>
            <w:hideMark/>
          </w:tcPr>
          <w:p w14:paraId="1675A56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r>
      <w:tr w:rsidR="00B41B29" w:rsidRPr="00ED46E3" w14:paraId="2CBBF203" w14:textId="77777777" w:rsidTr="00B41B29">
        <w:trPr>
          <w:trHeight w:val="217"/>
        </w:trPr>
        <w:tc>
          <w:tcPr>
            <w:tcW w:w="2410" w:type="dxa"/>
            <w:tcBorders>
              <w:top w:val="single" w:sz="4" w:space="0" w:color="92CDDC"/>
              <w:left w:val="nil"/>
              <w:bottom w:val="nil"/>
              <w:right w:val="nil"/>
            </w:tcBorders>
            <w:shd w:val="clear" w:color="auto" w:fill="auto"/>
            <w:vAlign w:val="center"/>
            <w:hideMark/>
          </w:tcPr>
          <w:p w14:paraId="3AE7DB40" w14:textId="77777777" w:rsidR="00ED46E3" w:rsidRPr="00ED46E3" w:rsidRDefault="00ED46E3" w:rsidP="00ED46E3">
            <w:pPr>
              <w:spacing w:after="0" w:line="240" w:lineRule="auto"/>
              <w:jc w:val="right"/>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xml:space="preserve">Futures and options admitted to trading on a trading venue </w:t>
            </w:r>
          </w:p>
        </w:tc>
        <w:tc>
          <w:tcPr>
            <w:tcW w:w="992" w:type="dxa"/>
            <w:tcBorders>
              <w:top w:val="single" w:sz="4" w:space="0" w:color="92CDDC"/>
              <w:left w:val="nil"/>
              <w:bottom w:val="nil"/>
              <w:right w:val="nil"/>
            </w:tcBorders>
            <w:shd w:val="clear" w:color="auto" w:fill="auto"/>
            <w:noWrap/>
            <w:vAlign w:val="center"/>
            <w:hideMark/>
          </w:tcPr>
          <w:p w14:paraId="6BD2FA51"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851" w:type="dxa"/>
            <w:tcBorders>
              <w:top w:val="single" w:sz="4" w:space="0" w:color="92CDDC"/>
              <w:left w:val="nil"/>
              <w:bottom w:val="nil"/>
              <w:right w:val="nil"/>
            </w:tcBorders>
            <w:shd w:val="clear" w:color="auto" w:fill="auto"/>
            <w:noWrap/>
            <w:vAlign w:val="center"/>
            <w:hideMark/>
          </w:tcPr>
          <w:p w14:paraId="17D9EDFD"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1134" w:type="dxa"/>
            <w:tcBorders>
              <w:top w:val="single" w:sz="4" w:space="0" w:color="92CDDC"/>
              <w:left w:val="nil"/>
              <w:bottom w:val="nil"/>
              <w:right w:val="nil"/>
            </w:tcBorders>
            <w:shd w:val="clear" w:color="auto" w:fill="auto"/>
            <w:noWrap/>
            <w:vAlign w:val="center"/>
            <w:hideMark/>
          </w:tcPr>
          <w:p w14:paraId="1E8BC06E"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995" w:type="dxa"/>
            <w:tcBorders>
              <w:top w:val="single" w:sz="4" w:space="0" w:color="92CDDC"/>
              <w:left w:val="nil"/>
              <w:bottom w:val="nil"/>
              <w:right w:val="nil"/>
            </w:tcBorders>
            <w:shd w:val="clear" w:color="auto" w:fill="auto"/>
            <w:noWrap/>
            <w:vAlign w:val="center"/>
            <w:hideMark/>
          </w:tcPr>
          <w:p w14:paraId="7261F44E"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851" w:type="dxa"/>
            <w:tcBorders>
              <w:top w:val="single" w:sz="4" w:space="0" w:color="92CDDC"/>
              <w:left w:val="nil"/>
              <w:bottom w:val="nil"/>
              <w:right w:val="nil"/>
            </w:tcBorders>
            <w:shd w:val="clear" w:color="auto" w:fill="auto"/>
            <w:noWrap/>
            <w:vAlign w:val="center"/>
            <w:hideMark/>
          </w:tcPr>
          <w:p w14:paraId="32E644F4"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567" w:type="dxa"/>
            <w:tcBorders>
              <w:top w:val="single" w:sz="4" w:space="0" w:color="92CDDC"/>
              <w:left w:val="nil"/>
              <w:bottom w:val="nil"/>
              <w:right w:val="nil"/>
            </w:tcBorders>
            <w:shd w:val="clear" w:color="auto" w:fill="auto"/>
            <w:noWrap/>
            <w:vAlign w:val="center"/>
            <w:hideMark/>
          </w:tcPr>
          <w:p w14:paraId="46F01EC7"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708" w:type="dxa"/>
            <w:tcBorders>
              <w:top w:val="single" w:sz="4" w:space="0" w:color="92CDDC"/>
              <w:left w:val="nil"/>
              <w:bottom w:val="nil"/>
              <w:right w:val="nil"/>
            </w:tcBorders>
            <w:shd w:val="clear" w:color="auto" w:fill="auto"/>
            <w:noWrap/>
            <w:vAlign w:val="center"/>
            <w:hideMark/>
          </w:tcPr>
          <w:p w14:paraId="04D9A5D8"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r>
      <w:tr w:rsidR="00B41B29" w:rsidRPr="00ED46E3" w14:paraId="4174190B" w14:textId="77777777" w:rsidTr="00B41B29">
        <w:trPr>
          <w:trHeight w:val="134"/>
        </w:trPr>
        <w:tc>
          <w:tcPr>
            <w:tcW w:w="2410" w:type="dxa"/>
            <w:tcBorders>
              <w:top w:val="nil"/>
              <w:left w:val="nil"/>
              <w:bottom w:val="single" w:sz="4" w:space="0" w:color="92CDDC"/>
              <w:right w:val="nil"/>
            </w:tcBorders>
            <w:shd w:val="clear" w:color="DCE6F1" w:fill="DCE6F1"/>
            <w:vAlign w:val="center"/>
            <w:hideMark/>
          </w:tcPr>
          <w:p w14:paraId="41402CD0" w14:textId="77777777" w:rsidR="00ED46E3" w:rsidRPr="00ED46E3" w:rsidRDefault="00ED46E3" w:rsidP="00ED46E3">
            <w:pPr>
              <w:spacing w:after="0" w:line="240" w:lineRule="auto"/>
              <w:jc w:val="right"/>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NON LINEAR</w:t>
            </w:r>
          </w:p>
        </w:tc>
        <w:tc>
          <w:tcPr>
            <w:tcW w:w="992" w:type="dxa"/>
            <w:tcBorders>
              <w:top w:val="nil"/>
              <w:left w:val="nil"/>
              <w:bottom w:val="single" w:sz="4" w:space="0" w:color="92CDDC"/>
              <w:right w:val="nil"/>
            </w:tcBorders>
            <w:shd w:val="clear" w:color="DCE6F1" w:fill="DCE6F1"/>
            <w:noWrap/>
            <w:vAlign w:val="center"/>
            <w:hideMark/>
          </w:tcPr>
          <w:p w14:paraId="56040B9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DCE6F1" w:fill="DCE6F1"/>
            <w:noWrap/>
            <w:vAlign w:val="center"/>
            <w:hideMark/>
          </w:tcPr>
          <w:p w14:paraId="743D8C80"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1134" w:type="dxa"/>
            <w:tcBorders>
              <w:top w:val="nil"/>
              <w:left w:val="nil"/>
              <w:bottom w:val="nil"/>
              <w:right w:val="nil"/>
            </w:tcBorders>
            <w:shd w:val="clear" w:color="DCE6F1" w:fill="DCE6F1"/>
            <w:noWrap/>
            <w:vAlign w:val="center"/>
            <w:hideMark/>
          </w:tcPr>
          <w:p w14:paraId="7843F2D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995" w:type="dxa"/>
            <w:tcBorders>
              <w:top w:val="nil"/>
              <w:left w:val="nil"/>
              <w:bottom w:val="nil"/>
              <w:right w:val="nil"/>
            </w:tcBorders>
            <w:shd w:val="clear" w:color="DCE6F1" w:fill="DCE6F1"/>
            <w:noWrap/>
            <w:vAlign w:val="center"/>
            <w:hideMark/>
          </w:tcPr>
          <w:p w14:paraId="61C95643"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nil"/>
              <w:right w:val="nil"/>
            </w:tcBorders>
            <w:shd w:val="clear" w:color="DCE6F1" w:fill="DCE6F1"/>
            <w:noWrap/>
            <w:vAlign w:val="center"/>
            <w:hideMark/>
          </w:tcPr>
          <w:p w14:paraId="03FF2EEC"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567" w:type="dxa"/>
            <w:tcBorders>
              <w:top w:val="nil"/>
              <w:left w:val="nil"/>
              <w:bottom w:val="nil"/>
              <w:right w:val="nil"/>
            </w:tcBorders>
            <w:shd w:val="clear" w:color="DCE6F1" w:fill="DCE6F1"/>
            <w:noWrap/>
            <w:vAlign w:val="center"/>
            <w:hideMark/>
          </w:tcPr>
          <w:p w14:paraId="6FB7BA65"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708" w:type="dxa"/>
            <w:tcBorders>
              <w:top w:val="nil"/>
              <w:left w:val="nil"/>
              <w:bottom w:val="single" w:sz="4" w:space="0" w:color="92CDDC"/>
              <w:right w:val="nil"/>
            </w:tcBorders>
            <w:shd w:val="clear" w:color="DCE6F1" w:fill="DCE6F1"/>
            <w:noWrap/>
            <w:vAlign w:val="center"/>
            <w:hideMark/>
          </w:tcPr>
          <w:p w14:paraId="7676AA6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r w:rsidR="00B41B29" w:rsidRPr="00ED46E3" w14:paraId="0824E12E" w14:textId="77777777" w:rsidTr="00B41B29">
        <w:trPr>
          <w:trHeight w:val="225"/>
        </w:trPr>
        <w:tc>
          <w:tcPr>
            <w:tcW w:w="2410" w:type="dxa"/>
            <w:tcBorders>
              <w:top w:val="nil"/>
              <w:left w:val="nil"/>
              <w:bottom w:val="nil"/>
              <w:right w:val="nil"/>
            </w:tcBorders>
            <w:shd w:val="clear" w:color="auto" w:fill="auto"/>
            <w:vAlign w:val="center"/>
            <w:hideMark/>
          </w:tcPr>
          <w:p w14:paraId="1DF19CEE" w14:textId="77777777" w:rsidR="00ED46E3" w:rsidRPr="00ED46E3" w:rsidRDefault="00ED46E3" w:rsidP="00ED46E3">
            <w:pPr>
              <w:spacing w:after="0" w:line="240" w:lineRule="auto"/>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Swaps, forwards, and other interest rates derivatives</w:t>
            </w:r>
          </w:p>
        </w:tc>
        <w:tc>
          <w:tcPr>
            <w:tcW w:w="992" w:type="dxa"/>
            <w:tcBorders>
              <w:top w:val="nil"/>
              <w:left w:val="nil"/>
              <w:bottom w:val="nil"/>
              <w:right w:val="nil"/>
            </w:tcBorders>
            <w:shd w:val="clear" w:color="auto" w:fill="auto"/>
            <w:noWrap/>
            <w:vAlign w:val="center"/>
            <w:hideMark/>
          </w:tcPr>
          <w:p w14:paraId="591E1972"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851" w:type="dxa"/>
            <w:tcBorders>
              <w:top w:val="single" w:sz="4" w:space="0" w:color="92CDDC"/>
              <w:left w:val="nil"/>
              <w:bottom w:val="nil"/>
              <w:right w:val="nil"/>
            </w:tcBorders>
            <w:shd w:val="clear" w:color="auto" w:fill="auto"/>
            <w:noWrap/>
            <w:vAlign w:val="center"/>
            <w:hideMark/>
          </w:tcPr>
          <w:p w14:paraId="72C31316"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1134" w:type="dxa"/>
            <w:tcBorders>
              <w:top w:val="single" w:sz="4" w:space="0" w:color="92CDDC"/>
              <w:left w:val="nil"/>
              <w:bottom w:val="nil"/>
              <w:right w:val="nil"/>
            </w:tcBorders>
            <w:shd w:val="clear" w:color="auto" w:fill="auto"/>
            <w:noWrap/>
            <w:vAlign w:val="center"/>
            <w:hideMark/>
          </w:tcPr>
          <w:p w14:paraId="40C029AE"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995" w:type="dxa"/>
            <w:tcBorders>
              <w:top w:val="single" w:sz="4" w:space="0" w:color="92CDDC"/>
              <w:left w:val="nil"/>
              <w:bottom w:val="nil"/>
              <w:right w:val="nil"/>
            </w:tcBorders>
            <w:shd w:val="clear" w:color="auto" w:fill="auto"/>
            <w:noWrap/>
            <w:vAlign w:val="center"/>
            <w:hideMark/>
          </w:tcPr>
          <w:p w14:paraId="270BC743"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851" w:type="dxa"/>
            <w:tcBorders>
              <w:top w:val="single" w:sz="4" w:space="0" w:color="92CDDC"/>
              <w:left w:val="nil"/>
              <w:bottom w:val="nil"/>
              <w:right w:val="nil"/>
            </w:tcBorders>
            <w:shd w:val="clear" w:color="auto" w:fill="auto"/>
            <w:noWrap/>
            <w:vAlign w:val="center"/>
            <w:hideMark/>
          </w:tcPr>
          <w:p w14:paraId="09E82105"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567" w:type="dxa"/>
            <w:tcBorders>
              <w:top w:val="single" w:sz="4" w:space="0" w:color="92CDDC"/>
              <w:left w:val="nil"/>
              <w:bottom w:val="nil"/>
              <w:right w:val="nil"/>
            </w:tcBorders>
            <w:shd w:val="clear" w:color="auto" w:fill="auto"/>
            <w:noWrap/>
            <w:vAlign w:val="center"/>
            <w:hideMark/>
          </w:tcPr>
          <w:p w14:paraId="294781D4"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708" w:type="dxa"/>
            <w:tcBorders>
              <w:top w:val="nil"/>
              <w:left w:val="nil"/>
              <w:bottom w:val="nil"/>
              <w:right w:val="nil"/>
            </w:tcBorders>
            <w:shd w:val="clear" w:color="auto" w:fill="auto"/>
            <w:noWrap/>
            <w:vAlign w:val="center"/>
            <w:hideMark/>
          </w:tcPr>
          <w:p w14:paraId="374C60A8"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r>
      <w:tr w:rsidR="00B41B29" w:rsidRPr="00ED46E3" w14:paraId="25CBC36F" w14:textId="77777777" w:rsidTr="00B41B29">
        <w:trPr>
          <w:trHeight w:val="141"/>
        </w:trPr>
        <w:tc>
          <w:tcPr>
            <w:tcW w:w="2410" w:type="dxa"/>
            <w:tcBorders>
              <w:top w:val="nil"/>
              <w:left w:val="nil"/>
              <w:bottom w:val="nil"/>
              <w:right w:val="nil"/>
            </w:tcBorders>
            <w:shd w:val="clear" w:color="DCE6F1" w:fill="DCE6F1"/>
            <w:vAlign w:val="center"/>
            <w:hideMark/>
          </w:tcPr>
          <w:p w14:paraId="09DF5484" w14:textId="77777777" w:rsidR="00ED46E3" w:rsidRPr="00ED46E3" w:rsidRDefault="00ED46E3" w:rsidP="00ED46E3">
            <w:pPr>
              <w:spacing w:after="0" w:line="240" w:lineRule="auto"/>
              <w:jc w:val="right"/>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 xml:space="preserve">LINEAR </w:t>
            </w:r>
          </w:p>
        </w:tc>
        <w:tc>
          <w:tcPr>
            <w:tcW w:w="992" w:type="dxa"/>
            <w:tcBorders>
              <w:top w:val="nil"/>
              <w:left w:val="nil"/>
              <w:bottom w:val="nil"/>
              <w:right w:val="nil"/>
            </w:tcBorders>
            <w:shd w:val="clear" w:color="DCE6F1" w:fill="DCE6F1"/>
            <w:noWrap/>
            <w:vAlign w:val="center"/>
            <w:hideMark/>
          </w:tcPr>
          <w:p w14:paraId="57BA054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DCE6F1" w:fill="DCE6F1"/>
            <w:noWrap/>
            <w:vAlign w:val="center"/>
            <w:hideMark/>
          </w:tcPr>
          <w:p w14:paraId="1669268C"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1134" w:type="dxa"/>
            <w:tcBorders>
              <w:top w:val="nil"/>
              <w:left w:val="nil"/>
              <w:bottom w:val="nil"/>
              <w:right w:val="nil"/>
            </w:tcBorders>
            <w:shd w:val="clear" w:color="DCE6F1" w:fill="DCE6F1"/>
            <w:noWrap/>
            <w:vAlign w:val="center"/>
            <w:hideMark/>
          </w:tcPr>
          <w:p w14:paraId="5AF893B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995" w:type="dxa"/>
            <w:tcBorders>
              <w:top w:val="nil"/>
              <w:left w:val="nil"/>
              <w:bottom w:val="nil"/>
              <w:right w:val="nil"/>
            </w:tcBorders>
            <w:shd w:val="clear" w:color="DCE6F1" w:fill="DCE6F1"/>
            <w:noWrap/>
            <w:vAlign w:val="center"/>
            <w:hideMark/>
          </w:tcPr>
          <w:p w14:paraId="0D47989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DCE6F1" w:fill="DCE6F1"/>
            <w:noWrap/>
            <w:vAlign w:val="center"/>
            <w:hideMark/>
          </w:tcPr>
          <w:p w14:paraId="0EB4B84A"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567" w:type="dxa"/>
            <w:tcBorders>
              <w:top w:val="nil"/>
              <w:left w:val="nil"/>
              <w:bottom w:val="nil"/>
              <w:right w:val="nil"/>
            </w:tcBorders>
            <w:shd w:val="clear" w:color="DCE6F1" w:fill="DCE6F1"/>
            <w:noWrap/>
            <w:vAlign w:val="center"/>
            <w:hideMark/>
          </w:tcPr>
          <w:p w14:paraId="460E988B"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3</w:t>
            </w:r>
          </w:p>
        </w:tc>
        <w:tc>
          <w:tcPr>
            <w:tcW w:w="708" w:type="dxa"/>
            <w:tcBorders>
              <w:top w:val="nil"/>
              <w:left w:val="nil"/>
              <w:bottom w:val="nil"/>
              <w:right w:val="nil"/>
            </w:tcBorders>
            <w:shd w:val="clear" w:color="DCE6F1" w:fill="DCE6F1"/>
            <w:noWrap/>
            <w:vAlign w:val="center"/>
            <w:hideMark/>
          </w:tcPr>
          <w:p w14:paraId="38FEE609"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r w:rsidR="00B41B29" w:rsidRPr="00ED46E3" w14:paraId="1A7C4512" w14:textId="77777777" w:rsidTr="00B41B29">
        <w:trPr>
          <w:trHeight w:val="101"/>
        </w:trPr>
        <w:tc>
          <w:tcPr>
            <w:tcW w:w="2410" w:type="dxa"/>
            <w:tcBorders>
              <w:top w:val="nil"/>
              <w:left w:val="nil"/>
              <w:bottom w:val="single" w:sz="4" w:space="0" w:color="92CDDC"/>
              <w:right w:val="nil"/>
            </w:tcBorders>
            <w:shd w:val="clear" w:color="auto" w:fill="auto"/>
            <w:vAlign w:val="center"/>
            <w:hideMark/>
          </w:tcPr>
          <w:p w14:paraId="15153CD6" w14:textId="77777777" w:rsidR="00ED46E3" w:rsidRPr="00ED46E3" w:rsidRDefault="00ED46E3" w:rsidP="00ED46E3">
            <w:pPr>
              <w:spacing w:after="0" w:line="240" w:lineRule="auto"/>
              <w:jc w:val="right"/>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NON LINEAR</w:t>
            </w:r>
          </w:p>
        </w:tc>
        <w:tc>
          <w:tcPr>
            <w:tcW w:w="992" w:type="dxa"/>
            <w:tcBorders>
              <w:top w:val="nil"/>
              <w:left w:val="nil"/>
              <w:bottom w:val="single" w:sz="4" w:space="0" w:color="92CDDC"/>
              <w:right w:val="nil"/>
            </w:tcBorders>
            <w:shd w:val="clear" w:color="auto" w:fill="auto"/>
            <w:noWrap/>
            <w:vAlign w:val="center"/>
            <w:hideMark/>
          </w:tcPr>
          <w:p w14:paraId="6ACBAA7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auto" w:fill="auto"/>
            <w:noWrap/>
            <w:vAlign w:val="center"/>
            <w:hideMark/>
          </w:tcPr>
          <w:p w14:paraId="2257976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1134" w:type="dxa"/>
            <w:tcBorders>
              <w:top w:val="nil"/>
              <w:left w:val="nil"/>
              <w:bottom w:val="nil"/>
              <w:right w:val="nil"/>
            </w:tcBorders>
            <w:shd w:val="clear" w:color="auto" w:fill="auto"/>
            <w:noWrap/>
            <w:vAlign w:val="center"/>
            <w:hideMark/>
          </w:tcPr>
          <w:p w14:paraId="15594F13"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995" w:type="dxa"/>
            <w:tcBorders>
              <w:top w:val="nil"/>
              <w:left w:val="nil"/>
              <w:bottom w:val="nil"/>
              <w:right w:val="nil"/>
            </w:tcBorders>
            <w:shd w:val="clear" w:color="auto" w:fill="auto"/>
            <w:noWrap/>
            <w:vAlign w:val="center"/>
            <w:hideMark/>
          </w:tcPr>
          <w:p w14:paraId="1E3B45E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single" w:sz="4" w:space="0" w:color="92CDDC"/>
              <w:right w:val="nil"/>
            </w:tcBorders>
            <w:shd w:val="clear" w:color="auto" w:fill="auto"/>
            <w:noWrap/>
            <w:vAlign w:val="center"/>
            <w:hideMark/>
          </w:tcPr>
          <w:p w14:paraId="62F552A8"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567" w:type="dxa"/>
            <w:tcBorders>
              <w:top w:val="nil"/>
              <w:left w:val="nil"/>
              <w:bottom w:val="single" w:sz="4" w:space="0" w:color="92CDDC"/>
              <w:right w:val="nil"/>
            </w:tcBorders>
            <w:shd w:val="clear" w:color="auto" w:fill="auto"/>
            <w:noWrap/>
            <w:vAlign w:val="center"/>
            <w:hideMark/>
          </w:tcPr>
          <w:p w14:paraId="7870E985"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N/A</w:t>
            </w:r>
          </w:p>
        </w:tc>
        <w:tc>
          <w:tcPr>
            <w:tcW w:w="708" w:type="dxa"/>
            <w:tcBorders>
              <w:top w:val="nil"/>
              <w:left w:val="nil"/>
              <w:bottom w:val="single" w:sz="4" w:space="0" w:color="92CDDC"/>
              <w:right w:val="nil"/>
            </w:tcBorders>
            <w:shd w:val="clear" w:color="auto" w:fill="auto"/>
            <w:noWrap/>
            <w:vAlign w:val="center"/>
            <w:hideMark/>
          </w:tcPr>
          <w:p w14:paraId="1EBB8223"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r w:rsidR="00B41B29" w:rsidRPr="00ED46E3" w14:paraId="3A2B9854" w14:textId="77777777" w:rsidTr="00B41B29">
        <w:trPr>
          <w:trHeight w:val="53"/>
        </w:trPr>
        <w:tc>
          <w:tcPr>
            <w:tcW w:w="2410" w:type="dxa"/>
            <w:tcBorders>
              <w:top w:val="single" w:sz="4" w:space="0" w:color="92CDDC"/>
              <w:left w:val="nil"/>
              <w:bottom w:val="single" w:sz="4" w:space="0" w:color="92CDDC"/>
              <w:right w:val="nil"/>
            </w:tcBorders>
            <w:shd w:val="clear" w:color="DCE6F1" w:fill="DCE6F1"/>
            <w:vAlign w:val="center"/>
            <w:hideMark/>
          </w:tcPr>
          <w:p w14:paraId="2C727A8A" w14:textId="77777777" w:rsidR="00ED46E3" w:rsidRPr="00ED46E3" w:rsidRDefault="00ED46E3" w:rsidP="00ED46E3">
            <w:pPr>
              <w:spacing w:after="0" w:line="240" w:lineRule="auto"/>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Option</w:t>
            </w:r>
          </w:p>
        </w:tc>
        <w:tc>
          <w:tcPr>
            <w:tcW w:w="992" w:type="dxa"/>
            <w:tcBorders>
              <w:top w:val="single" w:sz="4" w:space="0" w:color="92CDDC"/>
              <w:left w:val="nil"/>
              <w:bottom w:val="single" w:sz="4" w:space="0" w:color="92CDDC"/>
              <w:right w:val="nil"/>
            </w:tcBorders>
            <w:shd w:val="clear" w:color="DCE6F1" w:fill="DCE6F1"/>
            <w:noWrap/>
            <w:vAlign w:val="center"/>
            <w:hideMark/>
          </w:tcPr>
          <w:p w14:paraId="3ED3C00C"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single" w:sz="4" w:space="0" w:color="92CDDC"/>
              <w:right w:val="nil"/>
            </w:tcBorders>
            <w:shd w:val="clear" w:color="DCE6F1" w:fill="DCE6F1"/>
            <w:noWrap/>
            <w:vAlign w:val="center"/>
            <w:hideMark/>
          </w:tcPr>
          <w:p w14:paraId="5C7B63E0"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1134" w:type="dxa"/>
            <w:tcBorders>
              <w:top w:val="nil"/>
              <w:left w:val="nil"/>
              <w:bottom w:val="single" w:sz="4" w:space="0" w:color="92CDDC"/>
              <w:right w:val="nil"/>
            </w:tcBorders>
            <w:shd w:val="clear" w:color="DCE6F1" w:fill="DCE6F1"/>
            <w:noWrap/>
            <w:vAlign w:val="center"/>
            <w:hideMark/>
          </w:tcPr>
          <w:p w14:paraId="04B3683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995" w:type="dxa"/>
            <w:tcBorders>
              <w:top w:val="nil"/>
              <w:left w:val="nil"/>
              <w:bottom w:val="single" w:sz="4" w:space="0" w:color="92CDDC"/>
              <w:right w:val="nil"/>
            </w:tcBorders>
            <w:shd w:val="clear" w:color="DCE6F1" w:fill="DCE6F1"/>
            <w:noWrap/>
            <w:vAlign w:val="center"/>
            <w:hideMark/>
          </w:tcPr>
          <w:p w14:paraId="71B19F4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single" w:sz="4" w:space="0" w:color="92CDDC"/>
              <w:right w:val="nil"/>
            </w:tcBorders>
            <w:shd w:val="clear" w:color="DCE6F1" w:fill="DCE6F1"/>
            <w:noWrap/>
            <w:vAlign w:val="center"/>
            <w:hideMark/>
          </w:tcPr>
          <w:p w14:paraId="46395C4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567" w:type="dxa"/>
            <w:tcBorders>
              <w:top w:val="nil"/>
              <w:left w:val="nil"/>
              <w:bottom w:val="single" w:sz="4" w:space="0" w:color="92CDDC"/>
              <w:right w:val="nil"/>
            </w:tcBorders>
            <w:shd w:val="clear" w:color="DCE6F1" w:fill="DCE6F1"/>
            <w:noWrap/>
            <w:vAlign w:val="center"/>
            <w:hideMark/>
          </w:tcPr>
          <w:p w14:paraId="21972EF9"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N/A</w:t>
            </w:r>
          </w:p>
        </w:tc>
        <w:tc>
          <w:tcPr>
            <w:tcW w:w="708" w:type="dxa"/>
            <w:tcBorders>
              <w:top w:val="single" w:sz="4" w:space="0" w:color="92CDDC"/>
              <w:left w:val="nil"/>
              <w:bottom w:val="single" w:sz="4" w:space="0" w:color="92CDDC"/>
              <w:right w:val="nil"/>
            </w:tcBorders>
            <w:shd w:val="clear" w:color="DCE6F1" w:fill="DCE6F1"/>
            <w:noWrap/>
            <w:vAlign w:val="center"/>
            <w:hideMark/>
          </w:tcPr>
          <w:p w14:paraId="3FF1CBF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r>
      <w:tr w:rsidR="00B41B29" w:rsidRPr="00ED46E3" w14:paraId="714703BF" w14:textId="77777777" w:rsidTr="00B41B29">
        <w:trPr>
          <w:trHeight w:val="53"/>
        </w:trPr>
        <w:tc>
          <w:tcPr>
            <w:tcW w:w="2410" w:type="dxa"/>
            <w:tcBorders>
              <w:top w:val="nil"/>
              <w:left w:val="nil"/>
              <w:bottom w:val="single" w:sz="4" w:space="0" w:color="92CDDC"/>
              <w:right w:val="nil"/>
            </w:tcBorders>
            <w:shd w:val="clear" w:color="auto" w:fill="auto"/>
            <w:vAlign w:val="center"/>
            <w:hideMark/>
          </w:tcPr>
          <w:p w14:paraId="357FAC2D" w14:textId="77777777" w:rsidR="00ED46E3" w:rsidRPr="00ED46E3" w:rsidRDefault="00ED46E3" w:rsidP="00ED46E3">
            <w:pPr>
              <w:spacing w:after="0" w:line="240" w:lineRule="auto"/>
              <w:rPr>
                <w:rFonts w:ascii="Arial" w:eastAsia="Times New Roman" w:hAnsi="Arial" w:cs="Arial"/>
                <w:color w:val="000000"/>
                <w:sz w:val="16"/>
                <w:szCs w:val="16"/>
                <w:lang w:val="fr-FR" w:eastAsia="ja-JP"/>
              </w:rPr>
            </w:pPr>
            <w:proofErr w:type="spellStart"/>
            <w:r w:rsidRPr="00ED46E3">
              <w:rPr>
                <w:rFonts w:ascii="Arial" w:eastAsia="Times New Roman" w:hAnsi="Arial" w:cs="Arial"/>
                <w:color w:val="000000"/>
                <w:sz w:val="16"/>
                <w:szCs w:val="16"/>
                <w:lang w:val="fr-FR" w:eastAsia="ja-JP"/>
              </w:rPr>
              <w:t>Other</w:t>
            </w:r>
            <w:proofErr w:type="spellEnd"/>
            <w:r w:rsidRPr="00ED46E3">
              <w:rPr>
                <w:rFonts w:ascii="Arial" w:eastAsia="Times New Roman" w:hAnsi="Arial" w:cs="Arial"/>
                <w:color w:val="000000"/>
                <w:sz w:val="16"/>
                <w:szCs w:val="16"/>
                <w:lang w:val="fr-FR" w:eastAsia="ja-JP"/>
              </w:rPr>
              <w:t xml:space="preserve"> Rates</w:t>
            </w:r>
          </w:p>
        </w:tc>
        <w:tc>
          <w:tcPr>
            <w:tcW w:w="6098" w:type="dxa"/>
            <w:gridSpan w:val="7"/>
            <w:tcBorders>
              <w:top w:val="nil"/>
              <w:left w:val="nil"/>
              <w:bottom w:val="single" w:sz="4" w:space="0" w:color="92CDDC"/>
              <w:right w:val="nil"/>
            </w:tcBorders>
            <w:shd w:val="clear" w:color="auto" w:fill="auto"/>
            <w:noWrap/>
            <w:vAlign w:val="center"/>
            <w:hideMark/>
          </w:tcPr>
          <w:p w14:paraId="7DFD1622"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 </w:t>
            </w:r>
          </w:p>
        </w:tc>
      </w:tr>
      <w:tr w:rsidR="00B41B29" w:rsidRPr="00ED46E3" w14:paraId="1969D95A" w14:textId="77777777" w:rsidTr="00B41B29">
        <w:trPr>
          <w:trHeight w:val="85"/>
        </w:trPr>
        <w:tc>
          <w:tcPr>
            <w:tcW w:w="2410" w:type="dxa"/>
            <w:tcBorders>
              <w:top w:val="nil"/>
              <w:left w:val="nil"/>
              <w:bottom w:val="single" w:sz="4" w:space="0" w:color="92CDDC"/>
              <w:right w:val="nil"/>
            </w:tcBorders>
            <w:shd w:val="clear" w:color="auto" w:fill="auto"/>
            <w:vAlign w:val="center"/>
            <w:hideMark/>
          </w:tcPr>
          <w:p w14:paraId="4C6797B8" w14:textId="77777777" w:rsidR="00ED46E3" w:rsidRPr="00ED46E3" w:rsidRDefault="00ED46E3" w:rsidP="00ED46E3">
            <w:pPr>
              <w:spacing w:after="0" w:line="240" w:lineRule="auto"/>
              <w:rPr>
                <w:rFonts w:ascii="Arial" w:eastAsia="Times New Roman" w:hAnsi="Arial" w:cs="Arial"/>
                <w:b/>
                <w:bCs/>
                <w:color w:val="000000"/>
                <w:sz w:val="16"/>
                <w:szCs w:val="16"/>
                <w:lang w:val="fr-FR" w:eastAsia="ja-JP"/>
              </w:rPr>
            </w:pPr>
            <w:proofErr w:type="spellStart"/>
            <w:r w:rsidRPr="00ED46E3">
              <w:rPr>
                <w:rFonts w:ascii="Arial" w:eastAsia="Times New Roman" w:hAnsi="Arial" w:cs="Arial"/>
                <w:b/>
                <w:bCs/>
                <w:color w:val="000000"/>
                <w:sz w:val="16"/>
                <w:szCs w:val="16"/>
                <w:lang w:val="fr-FR" w:eastAsia="ja-JP"/>
              </w:rPr>
              <w:t>Currency</w:t>
            </w:r>
            <w:proofErr w:type="spellEnd"/>
            <w:r w:rsidRPr="00ED46E3">
              <w:rPr>
                <w:rFonts w:ascii="Arial" w:eastAsia="Times New Roman" w:hAnsi="Arial" w:cs="Arial"/>
                <w:b/>
                <w:bCs/>
                <w:color w:val="000000"/>
                <w:sz w:val="16"/>
                <w:szCs w:val="16"/>
                <w:lang w:val="fr-FR" w:eastAsia="ja-JP"/>
              </w:rPr>
              <w:t xml:space="preserve"> </w:t>
            </w:r>
            <w:proofErr w:type="spellStart"/>
            <w:r w:rsidRPr="00ED46E3">
              <w:rPr>
                <w:rFonts w:ascii="Arial" w:eastAsia="Times New Roman" w:hAnsi="Arial" w:cs="Arial"/>
                <w:b/>
                <w:bCs/>
                <w:color w:val="000000"/>
                <w:sz w:val="16"/>
                <w:szCs w:val="16"/>
                <w:lang w:val="fr-FR" w:eastAsia="ja-JP"/>
              </w:rPr>
              <w:t>derivatives</w:t>
            </w:r>
            <w:proofErr w:type="spellEnd"/>
          </w:p>
        </w:tc>
        <w:tc>
          <w:tcPr>
            <w:tcW w:w="6098" w:type="dxa"/>
            <w:gridSpan w:val="7"/>
            <w:tcBorders>
              <w:top w:val="nil"/>
              <w:left w:val="nil"/>
              <w:bottom w:val="single" w:sz="4" w:space="0" w:color="92CDDC"/>
              <w:right w:val="nil"/>
            </w:tcBorders>
            <w:shd w:val="clear" w:color="auto" w:fill="auto"/>
            <w:noWrap/>
            <w:vAlign w:val="center"/>
            <w:hideMark/>
          </w:tcPr>
          <w:p w14:paraId="3D3445E3"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 </w:t>
            </w:r>
          </w:p>
        </w:tc>
      </w:tr>
      <w:tr w:rsidR="00B41B29" w:rsidRPr="00ED46E3" w14:paraId="13377678" w14:textId="77777777" w:rsidTr="00B41B29">
        <w:trPr>
          <w:trHeight w:val="53"/>
        </w:trPr>
        <w:tc>
          <w:tcPr>
            <w:tcW w:w="2410" w:type="dxa"/>
            <w:tcBorders>
              <w:top w:val="nil"/>
              <w:left w:val="nil"/>
              <w:bottom w:val="nil"/>
              <w:right w:val="nil"/>
            </w:tcBorders>
            <w:shd w:val="clear" w:color="auto" w:fill="auto"/>
            <w:vAlign w:val="center"/>
            <w:hideMark/>
          </w:tcPr>
          <w:p w14:paraId="0CC41AE7" w14:textId="77777777" w:rsidR="00ED46E3" w:rsidRPr="00ED46E3" w:rsidRDefault="00ED46E3" w:rsidP="00ED46E3">
            <w:pPr>
              <w:spacing w:after="0" w:line="240" w:lineRule="auto"/>
              <w:rPr>
                <w:rFonts w:ascii="Arial" w:eastAsia="Times New Roman" w:hAnsi="Arial" w:cs="Arial"/>
                <w:color w:val="000000"/>
                <w:sz w:val="16"/>
                <w:szCs w:val="16"/>
                <w:lang w:val="en-US" w:eastAsia="ja-JP"/>
              </w:rPr>
            </w:pPr>
            <w:r w:rsidRPr="00ED46E3">
              <w:rPr>
                <w:rFonts w:ascii="Arial" w:eastAsia="Times New Roman" w:hAnsi="Arial" w:cs="Arial"/>
                <w:color w:val="000000"/>
                <w:sz w:val="16"/>
                <w:szCs w:val="16"/>
                <w:lang w:val="en-US" w:eastAsia="ja-JP"/>
              </w:rPr>
              <w:t>Swaps, forwards, and other currency derivatives</w:t>
            </w:r>
          </w:p>
        </w:tc>
        <w:tc>
          <w:tcPr>
            <w:tcW w:w="992" w:type="dxa"/>
            <w:tcBorders>
              <w:top w:val="nil"/>
              <w:left w:val="nil"/>
              <w:bottom w:val="nil"/>
              <w:right w:val="nil"/>
            </w:tcBorders>
            <w:shd w:val="clear" w:color="auto" w:fill="auto"/>
            <w:noWrap/>
            <w:vAlign w:val="center"/>
            <w:hideMark/>
          </w:tcPr>
          <w:p w14:paraId="5A48D527"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N/A</w:t>
            </w:r>
          </w:p>
        </w:tc>
        <w:tc>
          <w:tcPr>
            <w:tcW w:w="851" w:type="dxa"/>
            <w:tcBorders>
              <w:top w:val="nil"/>
              <w:left w:val="nil"/>
              <w:bottom w:val="nil"/>
              <w:right w:val="nil"/>
            </w:tcBorders>
            <w:shd w:val="clear" w:color="auto" w:fill="auto"/>
            <w:noWrap/>
            <w:vAlign w:val="center"/>
            <w:hideMark/>
          </w:tcPr>
          <w:p w14:paraId="37260CB7"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N/A</w:t>
            </w:r>
          </w:p>
        </w:tc>
        <w:tc>
          <w:tcPr>
            <w:tcW w:w="1134" w:type="dxa"/>
            <w:tcBorders>
              <w:top w:val="nil"/>
              <w:left w:val="nil"/>
              <w:bottom w:val="nil"/>
              <w:right w:val="nil"/>
            </w:tcBorders>
            <w:shd w:val="clear" w:color="auto" w:fill="auto"/>
            <w:noWrap/>
            <w:vAlign w:val="center"/>
            <w:hideMark/>
          </w:tcPr>
          <w:p w14:paraId="49C29043"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N/A</w:t>
            </w:r>
          </w:p>
        </w:tc>
        <w:tc>
          <w:tcPr>
            <w:tcW w:w="995" w:type="dxa"/>
            <w:tcBorders>
              <w:top w:val="nil"/>
              <w:left w:val="nil"/>
              <w:bottom w:val="nil"/>
              <w:right w:val="nil"/>
            </w:tcBorders>
            <w:shd w:val="clear" w:color="auto" w:fill="auto"/>
            <w:noWrap/>
            <w:vAlign w:val="center"/>
            <w:hideMark/>
          </w:tcPr>
          <w:p w14:paraId="482534A1"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N/A</w:t>
            </w:r>
          </w:p>
        </w:tc>
        <w:tc>
          <w:tcPr>
            <w:tcW w:w="851" w:type="dxa"/>
            <w:tcBorders>
              <w:top w:val="nil"/>
              <w:left w:val="nil"/>
              <w:bottom w:val="nil"/>
              <w:right w:val="nil"/>
            </w:tcBorders>
            <w:shd w:val="clear" w:color="auto" w:fill="auto"/>
            <w:noWrap/>
            <w:vAlign w:val="center"/>
            <w:hideMark/>
          </w:tcPr>
          <w:p w14:paraId="5660D99B"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N/A</w:t>
            </w:r>
          </w:p>
        </w:tc>
        <w:tc>
          <w:tcPr>
            <w:tcW w:w="567" w:type="dxa"/>
            <w:tcBorders>
              <w:top w:val="nil"/>
              <w:left w:val="nil"/>
              <w:bottom w:val="nil"/>
              <w:right w:val="nil"/>
            </w:tcBorders>
            <w:shd w:val="clear" w:color="auto" w:fill="auto"/>
            <w:noWrap/>
            <w:vAlign w:val="center"/>
            <w:hideMark/>
          </w:tcPr>
          <w:p w14:paraId="5C88F655"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N/A</w:t>
            </w:r>
          </w:p>
        </w:tc>
        <w:tc>
          <w:tcPr>
            <w:tcW w:w="708" w:type="dxa"/>
            <w:tcBorders>
              <w:top w:val="nil"/>
              <w:left w:val="nil"/>
              <w:bottom w:val="nil"/>
              <w:right w:val="nil"/>
            </w:tcBorders>
            <w:shd w:val="clear" w:color="auto" w:fill="auto"/>
            <w:noWrap/>
            <w:vAlign w:val="center"/>
            <w:hideMark/>
          </w:tcPr>
          <w:p w14:paraId="0D5F11B8"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N/A</w:t>
            </w:r>
          </w:p>
        </w:tc>
      </w:tr>
      <w:tr w:rsidR="00B41B29" w:rsidRPr="00ED46E3" w14:paraId="0AF37126" w14:textId="77777777" w:rsidTr="00B41B29">
        <w:trPr>
          <w:trHeight w:val="89"/>
        </w:trPr>
        <w:tc>
          <w:tcPr>
            <w:tcW w:w="2410" w:type="dxa"/>
            <w:tcBorders>
              <w:top w:val="nil"/>
              <w:left w:val="nil"/>
              <w:bottom w:val="nil"/>
              <w:right w:val="nil"/>
            </w:tcBorders>
            <w:shd w:val="clear" w:color="auto" w:fill="auto"/>
            <w:vAlign w:val="center"/>
            <w:hideMark/>
          </w:tcPr>
          <w:p w14:paraId="51C89D07" w14:textId="77777777" w:rsidR="00ED46E3" w:rsidRPr="00ED46E3" w:rsidRDefault="00ED46E3" w:rsidP="00ED46E3">
            <w:pPr>
              <w:spacing w:after="0" w:line="240" w:lineRule="auto"/>
              <w:jc w:val="right"/>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 xml:space="preserve">LINEAR </w:t>
            </w:r>
          </w:p>
        </w:tc>
        <w:tc>
          <w:tcPr>
            <w:tcW w:w="992" w:type="dxa"/>
            <w:tcBorders>
              <w:top w:val="nil"/>
              <w:left w:val="nil"/>
              <w:bottom w:val="nil"/>
              <w:right w:val="nil"/>
            </w:tcBorders>
            <w:shd w:val="clear" w:color="auto" w:fill="auto"/>
            <w:noWrap/>
            <w:vAlign w:val="center"/>
            <w:hideMark/>
          </w:tcPr>
          <w:p w14:paraId="183D01AB"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1</w:t>
            </w:r>
          </w:p>
        </w:tc>
        <w:tc>
          <w:tcPr>
            <w:tcW w:w="851" w:type="dxa"/>
            <w:tcBorders>
              <w:top w:val="nil"/>
              <w:left w:val="nil"/>
              <w:bottom w:val="nil"/>
              <w:right w:val="nil"/>
            </w:tcBorders>
            <w:shd w:val="clear" w:color="auto" w:fill="auto"/>
            <w:noWrap/>
            <w:vAlign w:val="center"/>
            <w:hideMark/>
          </w:tcPr>
          <w:p w14:paraId="7775B4B7"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1</w:t>
            </w:r>
          </w:p>
        </w:tc>
        <w:tc>
          <w:tcPr>
            <w:tcW w:w="1134" w:type="dxa"/>
            <w:tcBorders>
              <w:top w:val="nil"/>
              <w:left w:val="nil"/>
              <w:bottom w:val="nil"/>
              <w:right w:val="nil"/>
            </w:tcBorders>
            <w:shd w:val="clear" w:color="auto" w:fill="auto"/>
            <w:noWrap/>
            <w:vAlign w:val="center"/>
            <w:hideMark/>
          </w:tcPr>
          <w:p w14:paraId="79A2C823"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2</w:t>
            </w:r>
          </w:p>
        </w:tc>
        <w:tc>
          <w:tcPr>
            <w:tcW w:w="995" w:type="dxa"/>
            <w:tcBorders>
              <w:top w:val="nil"/>
              <w:left w:val="nil"/>
              <w:bottom w:val="nil"/>
              <w:right w:val="nil"/>
            </w:tcBorders>
            <w:shd w:val="clear" w:color="auto" w:fill="auto"/>
            <w:noWrap/>
            <w:vAlign w:val="center"/>
            <w:hideMark/>
          </w:tcPr>
          <w:p w14:paraId="74E4EA10"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nil"/>
              <w:right w:val="nil"/>
            </w:tcBorders>
            <w:shd w:val="clear" w:color="auto" w:fill="auto"/>
            <w:noWrap/>
            <w:vAlign w:val="center"/>
            <w:hideMark/>
          </w:tcPr>
          <w:p w14:paraId="0CF451B1"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2</w:t>
            </w:r>
          </w:p>
        </w:tc>
        <w:tc>
          <w:tcPr>
            <w:tcW w:w="567" w:type="dxa"/>
            <w:tcBorders>
              <w:top w:val="nil"/>
              <w:left w:val="nil"/>
              <w:bottom w:val="nil"/>
              <w:right w:val="nil"/>
            </w:tcBorders>
            <w:shd w:val="clear" w:color="auto" w:fill="auto"/>
            <w:noWrap/>
            <w:vAlign w:val="center"/>
            <w:hideMark/>
          </w:tcPr>
          <w:p w14:paraId="13EE99BE"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3</w:t>
            </w:r>
          </w:p>
        </w:tc>
        <w:tc>
          <w:tcPr>
            <w:tcW w:w="708" w:type="dxa"/>
            <w:tcBorders>
              <w:top w:val="nil"/>
              <w:left w:val="nil"/>
              <w:bottom w:val="nil"/>
              <w:right w:val="nil"/>
            </w:tcBorders>
            <w:shd w:val="clear" w:color="auto" w:fill="auto"/>
            <w:noWrap/>
            <w:vAlign w:val="center"/>
            <w:hideMark/>
          </w:tcPr>
          <w:p w14:paraId="438CC878"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1</w:t>
            </w:r>
          </w:p>
        </w:tc>
      </w:tr>
      <w:tr w:rsidR="00B41B29" w:rsidRPr="00ED46E3" w14:paraId="4EB27DE8" w14:textId="77777777" w:rsidTr="00B41B29">
        <w:trPr>
          <w:trHeight w:val="63"/>
        </w:trPr>
        <w:tc>
          <w:tcPr>
            <w:tcW w:w="2410" w:type="dxa"/>
            <w:tcBorders>
              <w:top w:val="nil"/>
              <w:left w:val="nil"/>
              <w:bottom w:val="single" w:sz="4" w:space="0" w:color="92CDDC"/>
              <w:right w:val="nil"/>
            </w:tcBorders>
            <w:shd w:val="clear" w:color="auto" w:fill="auto"/>
            <w:vAlign w:val="center"/>
            <w:hideMark/>
          </w:tcPr>
          <w:p w14:paraId="38487235" w14:textId="77777777" w:rsidR="00ED46E3" w:rsidRPr="00ED46E3" w:rsidRDefault="00ED46E3" w:rsidP="00ED46E3">
            <w:pPr>
              <w:spacing w:after="0" w:line="240" w:lineRule="auto"/>
              <w:jc w:val="right"/>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NON LINEAR</w:t>
            </w:r>
          </w:p>
        </w:tc>
        <w:tc>
          <w:tcPr>
            <w:tcW w:w="992" w:type="dxa"/>
            <w:tcBorders>
              <w:top w:val="nil"/>
              <w:left w:val="nil"/>
              <w:bottom w:val="single" w:sz="4" w:space="0" w:color="92CDDC"/>
              <w:right w:val="nil"/>
            </w:tcBorders>
            <w:shd w:val="clear" w:color="auto" w:fill="auto"/>
            <w:noWrap/>
            <w:vAlign w:val="center"/>
            <w:hideMark/>
          </w:tcPr>
          <w:p w14:paraId="4E5225F5"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1</w:t>
            </w:r>
          </w:p>
        </w:tc>
        <w:tc>
          <w:tcPr>
            <w:tcW w:w="851" w:type="dxa"/>
            <w:tcBorders>
              <w:top w:val="nil"/>
              <w:left w:val="nil"/>
              <w:bottom w:val="nil"/>
              <w:right w:val="nil"/>
            </w:tcBorders>
            <w:shd w:val="clear" w:color="auto" w:fill="auto"/>
            <w:noWrap/>
            <w:vAlign w:val="center"/>
            <w:hideMark/>
          </w:tcPr>
          <w:p w14:paraId="40870584"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1134" w:type="dxa"/>
            <w:tcBorders>
              <w:top w:val="nil"/>
              <w:left w:val="nil"/>
              <w:bottom w:val="nil"/>
              <w:right w:val="nil"/>
            </w:tcBorders>
            <w:shd w:val="clear" w:color="auto" w:fill="auto"/>
            <w:noWrap/>
            <w:vAlign w:val="center"/>
            <w:hideMark/>
          </w:tcPr>
          <w:p w14:paraId="16EB66C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995" w:type="dxa"/>
            <w:tcBorders>
              <w:top w:val="nil"/>
              <w:left w:val="nil"/>
              <w:bottom w:val="nil"/>
              <w:right w:val="nil"/>
            </w:tcBorders>
            <w:shd w:val="clear" w:color="auto" w:fill="auto"/>
            <w:noWrap/>
            <w:vAlign w:val="center"/>
            <w:hideMark/>
          </w:tcPr>
          <w:p w14:paraId="5FD3BC1C"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single" w:sz="4" w:space="0" w:color="92CDDC"/>
              <w:right w:val="nil"/>
            </w:tcBorders>
            <w:shd w:val="clear" w:color="auto" w:fill="auto"/>
            <w:noWrap/>
            <w:vAlign w:val="center"/>
            <w:hideMark/>
          </w:tcPr>
          <w:p w14:paraId="58E45EC1"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2</w:t>
            </w:r>
          </w:p>
        </w:tc>
        <w:tc>
          <w:tcPr>
            <w:tcW w:w="567" w:type="dxa"/>
            <w:tcBorders>
              <w:top w:val="nil"/>
              <w:left w:val="nil"/>
              <w:bottom w:val="single" w:sz="4" w:space="0" w:color="92CDDC"/>
              <w:right w:val="nil"/>
            </w:tcBorders>
            <w:shd w:val="clear" w:color="auto" w:fill="auto"/>
            <w:noWrap/>
            <w:vAlign w:val="center"/>
            <w:hideMark/>
          </w:tcPr>
          <w:p w14:paraId="4C13F11F"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N/A</w:t>
            </w:r>
          </w:p>
        </w:tc>
        <w:tc>
          <w:tcPr>
            <w:tcW w:w="708" w:type="dxa"/>
            <w:tcBorders>
              <w:top w:val="nil"/>
              <w:left w:val="nil"/>
              <w:bottom w:val="single" w:sz="4" w:space="0" w:color="92CDDC"/>
              <w:right w:val="nil"/>
            </w:tcBorders>
            <w:shd w:val="clear" w:color="auto" w:fill="auto"/>
            <w:noWrap/>
            <w:vAlign w:val="center"/>
            <w:hideMark/>
          </w:tcPr>
          <w:p w14:paraId="34161864"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1</w:t>
            </w:r>
          </w:p>
        </w:tc>
      </w:tr>
      <w:tr w:rsidR="00B41B29" w:rsidRPr="00ED46E3" w14:paraId="447C9E71" w14:textId="77777777" w:rsidTr="00B41B29">
        <w:trPr>
          <w:trHeight w:val="53"/>
        </w:trPr>
        <w:tc>
          <w:tcPr>
            <w:tcW w:w="2410" w:type="dxa"/>
            <w:tcBorders>
              <w:top w:val="nil"/>
              <w:left w:val="nil"/>
              <w:bottom w:val="single" w:sz="4" w:space="0" w:color="92CDDC"/>
              <w:right w:val="nil"/>
            </w:tcBorders>
            <w:shd w:val="clear" w:color="auto" w:fill="auto"/>
            <w:vAlign w:val="center"/>
            <w:hideMark/>
          </w:tcPr>
          <w:p w14:paraId="3095155C" w14:textId="77777777" w:rsidR="00ED46E3" w:rsidRPr="00ED46E3" w:rsidRDefault="00ED46E3" w:rsidP="00ED46E3">
            <w:pPr>
              <w:spacing w:after="0" w:line="240" w:lineRule="auto"/>
              <w:rPr>
                <w:rFonts w:ascii="Arial" w:eastAsia="Times New Roman" w:hAnsi="Arial" w:cs="Arial"/>
                <w:b/>
                <w:bCs/>
                <w:color w:val="000000"/>
                <w:sz w:val="16"/>
                <w:szCs w:val="16"/>
                <w:lang w:val="fr-FR" w:eastAsia="ja-JP"/>
              </w:rPr>
            </w:pPr>
            <w:proofErr w:type="spellStart"/>
            <w:r w:rsidRPr="00ED46E3">
              <w:rPr>
                <w:rFonts w:ascii="Arial" w:eastAsia="Times New Roman" w:hAnsi="Arial" w:cs="Arial"/>
                <w:b/>
                <w:bCs/>
                <w:color w:val="000000"/>
                <w:sz w:val="16"/>
                <w:szCs w:val="16"/>
                <w:lang w:val="fr-FR" w:eastAsia="ja-JP"/>
              </w:rPr>
              <w:t>Other</w:t>
            </w:r>
            <w:proofErr w:type="spellEnd"/>
            <w:r w:rsidRPr="00ED46E3">
              <w:rPr>
                <w:rFonts w:ascii="Arial" w:eastAsia="Times New Roman" w:hAnsi="Arial" w:cs="Arial"/>
                <w:b/>
                <w:bCs/>
                <w:color w:val="000000"/>
                <w:sz w:val="16"/>
                <w:szCs w:val="16"/>
                <w:lang w:val="fr-FR" w:eastAsia="ja-JP"/>
              </w:rPr>
              <w:t xml:space="preserve"> instruments</w:t>
            </w:r>
          </w:p>
        </w:tc>
        <w:tc>
          <w:tcPr>
            <w:tcW w:w="6098" w:type="dxa"/>
            <w:gridSpan w:val="7"/>
            <w:tcBorders>
              <w:top w:val="single" w:sz="4" w:space="0" w:color="92CDDC"/>
              <w:left w:val="nil"/>
              <w:bottom w:val="single" w:sz="4" w:space="0" w:color="92CDDC"/>
              <w:right w:val="nil"/>
            </w:tcBorders>
            <w:shd w:val="clear" w:color="auto" w:fill="auto"/>
            <w:noWrap/>
            <w:vAlign w:val="center"/>
            <w:hideMark/>
          </w:tcPr>
          <w:p w14:paraId="6261295C"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 </w:t>
            </w:r>
          </w:p>
        </w:tc>
      </w:tr>
      <w:tr w:rsidR="00B41B29" w:rsidRPr="00ED46E3" w14:paraId="3A85F901" w14:textId="77777777" w:rsidTr="00B41B29">
        <w:trPr>
          <w:trHeight w:val="300"/>
        </w:trPr>
        <w:tc>
          <w:tcPr>
            <w:tcW w:w="2410" w:type="dxa"/>
            <w:tcBorders>
              <w:top w:val="nil"/>
              <w:left w:val="nil"/>
              <w:bottom w:val="nil"/>
              <w:right w:val="nil"/>
            </w:tcBorders>
            <w:shd w:val="clear" w:color="auto" w:fill="auto"/>
            <w:vAlign w:val="center"/>
            <w:hideMark/>
          </w:tcPr>
          <w:p w14:paraId="7BD71DBA" w14:textId="77777777" w:rsidR="00ED46E3" w:rsidRPr="00ED46E3" w:rsidRDefault="00ED46E3" w:rsidP="00ED46E3">
            <w:pPr>
              <w:spacing w:after="0" w:line="240" w:lineRule="auto"/>
              <w:rPr>
                <w:rFonts w:ascii="Arial" w:eastAsia="Times New Roman" w:hAnsi="Arial" w:cs="Arial"/>
                <w:color w:val="000000"/>
                <w:sz w:val="16"/>
                <w:szCs w:val="16"/>
                <w:lang w:val="en-US" w:eastAsia="ja-JP"/>
              </w:rPr>
            </w:pPr>
            <w:r w:rsidRPr="00ED46E3">
              <w:rPr>
                <w:rFonts w:ascii="Arial" w:eastAsia="Times New Roman" w:hAnsi="Arial" w:cs="Arial"/>
                <w:color w:val="000000"/>
                <w:sz w:val="16"/>
                <w:szCs w:val="16"/>
                <w:lang w:val="en-US" w:eastAsia="ja-JP"/>
              </w:rPr>
              <w:t>Repo and other fixed income secured funding instruments</w:t>
            </w:r>
          </w:p>
        </w:tc>
        <w:tc>
          <w:tcPr>
            <w:tcW w:w="6098" w:type="dxa"/>
            <w:gridSpan w:val="7"/>
            <w:tcBorders>
              <w:top w:val="single" w:sz="4" w:space="0" w:color="92CDDC"/>
              <w:left w:val="nil"/>
              <w:bottom w:val="nil"/>
              <w:right w:val="nil"/>
            </w:tcBorders>
            <w:shd w:val="clear" w:color="auto" w:fill="auto"/>
            <w:noWrap/>
            <w:vAlign w:val="center"/>
            <w:hideMark/>
          </w:tcPr>
          <w:p w14:paraId="069C701F" w14:textId="77777777" w:rsidR="00ED46E3" w:rsidRPr="00ED46E3" w:rsidRDefault="00ED46E3" w:rsidP="00ED46E3">
            <w:pPr>
              <w:spacing w:after="0" w:line="240" w:lineRule="auto"/>
              <w:jc w:val="center"/>
              <w:rPr>
                <w:rFonts w:ascii="Arial" w:eastAsia="Times New Roman" w:hAnsi="Arial" w:cs="Arial"/>
                <w:color w:val="000000"/>
                <w:sz w:val="16"/>
                <w:szCs w:val="16"/>
                <w:lang w:val="en-US" w:eastAsia="ja-JP"/>
              </w:rPr>
            </w:pPr>
            <w:r w:rsidRPr="00ED46E3">
              <w:rPr>
                <w:rFonts w:ascii="Arial" w:eastAsia="Times New Roman" w:hAnsi="Arial" w:cs="Arial"/>
                <w:color w:val="000000"/>
                <w:sz w:val="16"/>
                <w:szCs w:val="16"/>
                <w:lang w:val="en-US" w:eastAsia="ja-JP"/>
              </w:rPr>
              <w:t> </w:t>
            </w:r>
          </w:p>
        </w:tc>
      </w:tr>
      <w:tr w:rsidR="00B41B29" w:rsidRPr="00ED46E3" w14:paraId="001E9AF1" w14:textId="77777777" w:rsidTr="00B41B29">
        <w:trPr>
          <w:trHeight w:val="63"/>
        </w:trPr>
        <w:tc>
          <w:tcPr>
            <w:tcW w:w="2410" w:type="dxa"/>
            <w:tcBorders>
              <w:top w:val="nil"/>
              <w:left w:val="nil"/>
              <w:bottom w:val="single" w:sz="4" w:space="0" w:color="92CDDC"/>
              <w:right w:val="nil"/>
            </w:tcBorders>
            <w:shd w:val="clear" w:color="auto" w:fill="auto"/>
            <w:vAlign w:val="center"/>
            <w:hideMark/>
          </w:tcPr>
          <w:p w14:paraId="40AE677E" w14:textId="77777777" w:rsidR="00ED46E3" w:rsidRPr="00ED46E3" w:rsidRDefault="00ED46E3" w:rsidP="00ED46E3">
            <w:pPr>
              <w:spacing w:after="0" w:line="240" w:lineRule="auto"/>
              <w:jc w:val="right"/>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 xml:space="preserve">LINEAR </w:t>
            </w:r>
          </w:p>
        </w:tc>
        <w:tc>
          <w:tcPr>
            <w:tcW w:w="992" w:type="dxa"/>
            <w:tcBorders>
              <w:top w:val="nil"/>
              <w:left w:val="nil"/>
              <w:bottom w:val="single" w:sz="4" w:space="0" w:color="92CDDC"/>
              <w:right w:val="nil"/>
            </w:tcBorders>
            <w:shd w:val="clear" w:color="auto" w:fill="auto"/>
            <w:noWrap/>
            <w:vAlign w:val="center"/>
            <w:hideMark/>
          </w:tcPr>
          <w:p w14:paraId="7DC5153A"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1</w:t>
            </w:r>
          </w:p>
        </w:tc>
        <w:tc>
          <w:tcPr>
            <w:tcW w:w="851" w:type="dxa"/>
            <w:tcBorders>
              <w:top w:val="nil"/>
              <w:left w:val="nil"/>
              <w:bottom w:val="single" w:sz="4" w:space="0" w:color="92CDDC"/>
              <w:right w:val="nil"/>
            </w:tcBorders>
            <w:shd w:val="clear" w:color="auto" w:fill="auto"/>
            <w:noWrap/>
            <w:vAlign w:val="center"/>
            <w:hideMark/>
          </w:tcPr>
          <w:p w14:paraId="0CCC44B7"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2</w:t>
            </w:r>
          </w:p>
        </w:tc>
        <w:tc>
          <w:tcPr>
            <w:tcW w:w="1134" w:type="dxa"/>
            <w:tcBorders>
              <w:top w:val="nil"/>
              <w:left w:val="nil"/>
              <w:bottom w:val="single" w:sz="4" w:space="0" w:color="92CDDC"/>
              <w:right w:val="nil"/>
            </w:tcBorders>
            <w:shd w:val="clear" w:color="auto" w:fill="auto"/>
            <w:noWrap/>
            <w:vAlign w:val="center"/>
            <w:hideMark/>
          </w:tcPr>
          <w:p w14:paraId="1374D0AA"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3</w:t>
            </w:r>
          </w:p>
        </w:tc>
        <w:tc>
          <w:tcPr>
            <w:tcW w:w="995" w:type="dxa"/>
            <w:tcBorders>
              <w:top w:val="nil"/>
              <w:left w:val="nil"/>
              <w:bottom w:val="single" w:sz="4" w:space="0" w:color="92CDDC"/>
              <w:right w:val="nil"/>
            </w:tcBorders>
            <w:shd w:val="clear" w:color="auto" w:fill="auto"/>
            <w:noWrap/>
            <w:vAlign w:val="center"/>
            <w:hideMark/>
          </w:tcPr>
          <w:p w14:paraId="0375B55F"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4</w:t>
            </w:r>
          </w:p>
        </w:tc>
        <w:tc>
          <w:tcPr>
            <w:tcW w:w="851" w:type="dxa"/>
            <w:tcBorders>
              <w:top w:val="nil"/>
              <w:left w:val="nil"/>
              <w:bottom w:val="single" w:sz="4" w:space="0" w:color="92CDDC"/>
              <w:right w:val="nil"/>
            </w:tcBorders>
            <w:shd w:val="clear" w:color="auto" w:fill="auto"/>
            <w:noWrap/>
            <w:vAlign w:val="center"/>
            <w:hideMark/>
          </w:tcPr>
          <w:p w14:paraId="55BBA60C"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2</w:t>
            </w:r>
          </w:p>
        </w:tc>
        <w:tc>
          <w:tcPr>
            <w:tcW w:w="567" w:type="dxa"/>
            <w:tcBorders>
              <w:top w:val="nil"/>
              <w:left w:val="nil"/>
              <w:bottom w:val="single" w:sz="4" w:space="0" w:color="92CDDC"/>
              <w:right w:val="nil"/>
            </w:tcBorders>
            <w:shd w:val="clear" w:color="auto" w:fill="auto"/>
            <w:noWrap/>
            <w:vAlign w:val="center"/>
            <w:hideMark/>
          </w:tcPr>
          <w:p w14:paraId="1ADDFE77"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N/A</w:t>
            </w:r>
          </w:p>
        </w:tc>
        <w:tc>
          <w:tcPr>
            <w:tcW w:w="708" w:type="dxa"/>
            <w:tcBorders>
              <w:top w:val="nil"/>
              <w:left w:val="nil"/>
              <w:bottom w:val="single" w:sz="4" w:space="0" w:color="92CDDC"/>
              <w:right w:val="nil"/>
            </w:tcBorders>
            <w:shd w:val="clear" w:color="auto" w:fill="auto"/>
            <w:noWrap/>
            <w:vAlign w:val="center"/>
            <w:hideMark/>
          </w:tcPr>
          <w:p w14:paraId="5177E87B"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1</w:t>
            </w:r>
          </w:p>
        </w:tc>
      </w:tr>
      <w:tr w:rsidR="00974792" w:rsidRPr="00ED46E3" w14:paraId="1B0499D9" w14:textId="77777777" w:rsidTr="00B41B29">
        <w:trPr>
          <w:trHeight w:val="53"/>
        </w:trPr>
        <w:tc>
          <w:tcPr>
            <w:tcW w:w="2410" w:type="dxa"/>
            <w:tcBorders>
              <w:top w:val="nil"/>
              <w:left w:val="nil"/>
              <w:bottom w:val="nil"/>
              <w:right w:val="nil"/>
            </w:tcBorders>
            <w:shd w:val="clear" w:color="000000" w:fill="8DB4E2"/>
            <w:vAlign w:val="center"/>
            <w:hideMark/>
          </w:tcPr>
          <w:p w14:paraId="312AC460"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proofErr w:type="spellStart"/>
            <w:r w:rsidRPr="00ED46E3">
              <w:rPr>
                <w:rFonts w:ascii="Arial" w:eastAsia="Times New Roman" w:hAnsi="Arial" w:cs="Arial"/>
                <w:b/>
                <w:bCs/>
                <w:color w:val="FFFFFF"/>
                <w:sz w:val="16"/>
                <w:szCs w:val="16"/>
                <w:lang w:val="fr-FR" w:eastAsia="ja-JP"/>
              </w:rPr>
              <w:t>Treasury</w:t>
            </w:r>
            <w:proofErr w:type="spellEnd"/>
          </w:p>
        </w:tc>
        <w:tc>
          <w:tcPr>
            <w:tcW w:w="992" w:type="dxa"/>
            <w:tcBorders>
              <w:top w:val="nil"/>
              <w:left w:val="nil"/>
              <w:bottom w:val="nil"/>
              <w:right w:val="nil"/>
            </w:tcBorders>
            <w:shd w:val="clear" w:color="000000" w:fill="8DB4E2"/>
            <w:vAlign w:val="center"/>
            <w:hideMark/>
          </w:tcPr>
          <w:p w14:paraId="50BC72E3"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851" w:type="dxa"/>
            <w:tcBorders>
              <w:top w:val="nil"/>
              <w:left w:val="nil"/>
              <w:bottom w:val="nil"/>
              <w:right w:val="nil"/>
            </w:tcBorders>
            <w:shd w:val="clear" w:color="000000" w:fill="8DB4E2"/>
            <w:vAlign w:val="center"/>
            <w:hideMark/>
          </w:tcPr>
          <w:p w14:paraId="689058C9"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1134" w:type="dxa"/>
            <w:tcBorders>
              <w:top w:val="nil"/>
              <w:left w:val="nil"/>
              <w:bottom w:val="nil"/>
              <w:right w:val="nil"/>
            </w:tcBorders>
            <w:shd w:val="clear" w:color="000000" w:fill="8DB4E2"/>
            <w:vAlign w:val="center"/>
            <w:hideMark/>
          </w:tcPr>
          <w:p w14:paraId="04AB0D8F"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995" w:type="dxa"/>
            <w:tcBorders>
              <w:top w:val="nil"/>
              <w:left w:val="nil"/>
              <w:bottom w:val="nil"/>
              <w:right w:val="nil"/>
            </w:tcBorders>
            <w:shd w:val="clear" w:color="000000" w:fill="8DB4E2"/>
            <w:vAlign w:val="center"/>
            <w:hideMark/>
          </w:tcPr>
          <w:p w14:paraId="3133E810"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851" w:type="dxa"/>
            <w:tcBorders>
              <w:top w:val="nil"/>
              <w:left w:val="nil"/>
              <w:bottom w:val="nil"/>
              <w:right w:val="nil"/>
            </w:tcBorders>
            <w:shd w:val="clear" w:color="000000" w:fill="8DB4E2"/>
            <w:vAlign w:val="center"/>
            <w:hideMark/>
          </w:tcPr>
          <w:p w14:paraId="2F5A81BC"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567" w:type="dxa"/>
            <w:tcBorders>
              <w:top w:val="nil"/>
              <w:left w:val="nil"/>
              <w:bottom w:val="nil"/>
              <w:right w:val="nil"/>
            </w:tcBorders>
            <w:shd w:val="clear" w:color="000000" w:fill="8DB4E2"/>
            <w:vAlign w:val="center"/>
            <w:hideMark/>
          </w:tcPr>
          <w:p w14:paraId="3E2FCD8F"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708" w:type="dxa"/>
            <w:tcBorders>
              <w:top w:val="nil"/>
              <w:left w:val="nil"/>
              <w:bottom w:val="nil"/>
              <w:right w:val="nil"/>
            </w:tcBorders>
            <w:shd w:val="clear" w:color="000000" w:fill="8DB4E2"/>
            <w:vAlign w:val="center"/>
            <w:hideMark/>
          </w:tcPr>
          <w:p w14:paraId="4AEDACA2"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r>
      <w:tr w:rsidR="00B41B29" w:rsidRPr="00ED46E3" w14:paraId="671CC626" w14:textId="77777777" w:rsidTr="00B41B29">
        <w:trPr>
          <w:trHeight w:val="53"/>
        </w:trPr>
        <w:tc>
          <w:tcPr>
            <w:tcW w:w="2410" w:type="dxa"/>
            <w:tcBorders>
              <w:top w:val="single" w:sz="4" w:space="0" w:color="4F81BD"/>
              <w:left w:val="nil"/>
              <w:bottom w:val="nil"/>
              <w:right w:val="nil"/>
            </w:tcBorders>
            <w:shd w:val="clear" w:color="DCE6F1" w:fill="DCE6F1"/>
            <w:vAlign w:val="center"/>
            <w:hideMark/>
          </w:tcPr>
          <w:p w14:paraId="1A8EC8E4" w14:textId="77777777" w:rsidR="00ED46E3" w:rsidRPr="00ED46E3" w:rsidRDefault="00ED46E3" w:rsidP="00ED46E3">
            <w:pPr>
              <w:spacing w:after="0" w:line="240" w:lineRule="auto"/>
              <w:rPr>
                <w:rFonts w:ascii="Arial" w:eastAsia="Times New Roman" w:hAnsi="Arial" w:cs="Arial"/>
                <w:b/>
                <w:bCs/>
                <w:sz w:val="16"/>
                <w:szCs w:val="16"/>
                <w:lang w:val="fr-FR" w:eastAsia="ja-JP"/>
              </w:rPr>
            </w:pPr>
            <w:proofErr w:type="spellStart"/>
            <w:r w:rsidRPr="00ED46E3">
              <w:rPr>
                <w:rFonts w:ascii="Arial" w:eastAsia="Times New Roman" w:hAnsi="Arial" w:cs="Arial"/>
                <w:b/>
                <w:bCs/>
                <w:sz w:val="16"/>
                <w:szCs w:val="16"/>
                <w:lang w:val="fr-FR" w:eastAsia="ja-JP"/>
              </w:rPr>
              <w:t>Debt</w:t>
            </w:r>
            <w:proofErr w:type="spellEnd"/>
            <w:r w:rsidRPr="00ED46E3">
              <w:rPr>
                <w:rFonts w:ascii="Arial" w:eastAsia="Times New Roman" w:hAnsi="Arial" w:cs="Arial"/>
                <w:b/>
                <w:bCs/>
                <w:sz w:val="16"/>
                <w:szCs w:val="16"/>
                <w:lang w:val="fr-FR" w:eastAsia="ja-JP"/>
              </w:rPr>
              <w:t xml:space="preserve"> Instruments</w:t>
            </w:r>
          </w:p>
        </w:tc>
        <w:tc>
          <w:tcPr>
            <w:tcW w:w="992" w:type="dxa"/>
            <w:tcBorders>
              <w:top w:val="single" w:sz="4" w:space="0" w:color="4F81BD"/>
              <w:left w:val="nil"/>
              <w:bottom w:val="nil"/>
              <w:right w:val="nil"/>
            </w:tcBorders>
            <w:shd w:val="clear" w:color="DCE6F1" w:fill="DCE6F1"/>
            <w:noWrap/>
            <w:vAlign w:val="center"/>
            <w:hideMark/>
          </w:tcPr>
          <w:p w14:paraId="72BD8900" w14:textId="77777777" w:rsidR="00ED46E3" w:rsidRPr="00ED46E3" w:rsidRDefault="00ED46E3" w:rsidP="00ED46E3">
            <w:pPr>
              <w:spacing w:after="0" w:line="240" w:lineRule="auto"/>
              <w:rPr>
                <w:rFonts w:ascii="Arial" w:eastAsia="Times New Roman" w:hAnsi="Arial" w:cs="Arial"/>
                <w:b/>
                <w:bCs/>
                <w:sz w:val="16"/>
                <w:szCs w:val="16"/>
                <w:lang w:val="fr-FR" w:eastAsia="ja-JP"/>
              </w:rPr>
            </w:pPr>
          </w:p>
        </w:tc>
        <w:tc>
          <w:tcPr>
            <w:tcW w:w="851" w:type="dxa"/>
            <w:tcBorders>
              <w:top w:val="single" w:sz="4" w:space="0" w:color="4F81BD"/>
              <w:left w:val="nil"/>
              <w:bottom w:val="nil"/>
              <w:right w:val="nil"/>
            </w:tcBorders>
            <w:shd w:val="clear" w:color="DCE6F1" w:fill="DCE6F1"/>
            <w:noWrap/>
            <w:vAlign w:val="center"/>
            <w:hideMark/>
          </w:tcPr>
          <w:p w14:paraId="6C3DAB5A"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1134" w:type="dxa"/>
            <w:tcBorders>
              <w:top w:val="single" w:sz="4" w:space="0" w:color="4F81BD"/>
              <w:left w:val="nil"/>
              <w:bottom w:val="nil"/>
              <w:right w:val="nil"/>
            </w:tcBorders>
            <w:shd w:val="clear" w:color="DCE6F1" w:fill="DCE6F1"/>
            <w:noWrap/>
            <w:vAlign w:val="center"/>
            <w:hideMark/>
          </w:tcPr>
          <w:p w14:paraId="14E37A55"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995" w:type="dxa"/>
            <w:tcBorders>
              <w:top w:val="single" w:sz="4" w:space="0" w:color="4F81BD"/>
              <w:left w:val="nil"/>
              <w:bottom w:val="nil"/>
              <w:right w:val="nil"/>
            </w:tcBorders>
            <w:shd w:val="clear" w:color="DCE6F1" w:fill="DCE6F1"/>
            <w:noWrap/>
            <w:vAlign w:val="center"/>
            <w:hideMark/>
          </w:tcPr>
          <w:p w14:paraId="75D8D23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851" w:type="dxa"/>
            <w:tcBorders>
              <w:top w:val="single" w:sz="4" w:space="0" w:color="4F81BD"/>
              <w:left w:val="nil"/>
              <w:bottom w:val="nil"/>
              <w:right w:val="nil"/>
            </w:tcBorders>
            <w:shd w:val="clear" w:color="DCE6F1" w:fill="DCE6F1"/>
            <w:noWrap/>
            <w:vAlign w:val="center"/>
            <w:hideMark/>
          </w:tcPr>
          <w:p w14:paraId="1A06535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567" w:type="dxa"/>
            <w:tcBorders>
              <w:top w:val="single" w:sz="4" w:space="0" w:color="4F81BD"/>
              <w:left w:val="nil"/>
              <w:bottom w:val="nil"/>
              <w:right w:val="nil"/>
            </w:tcBorders>
            <w:shd w:val="clear" w:color="DCE6F1" w:fill="DCE6F1"/>
            <w:noWrap/>
            <w:vAlign w:val="center"/>
            <w:hideMark/>
          </w:tcPr>
          <w:p w14:paraId="7FB7064A"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708" w:type="dxa"/>
            <w:tcBorders>
              <w:top w:val="single" w:sz="4" w:space="0" w:color="4F81BD"/>
              <w:left w:val="nil"/>
              <w:bottom w:val="nil"/>
              <w:right w:val="nil"/>
            </w:tcBorders>
            <w:shd w:val="clear" w:color="DCE6F1" w:fill="DCE6F1"/>
            <w:noWrap/>
            <w:vAlign w:val="center"/>
            <w:hideMark/>
          </w:tcPr>
          <w:p w14:paraId="2B794A1B"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r>
      <w:tr w:rsidR="00B41B29" w:rsidRPr="00ED46E3" w14:paraId="172C673A" w14:textId="77777777" w:rsidTr="00B41B29">
        <w:trPr>
          <w:trHeight w:val="139"/>
        </w:trPr>
        <w:tc>
          <w:tcPr>
            <w:tcW w:w="2410" w:type="dxa"/>
            <w:tcBorders>
              <w:top w:val="nil"/>
              <w:left w:val="nil"/>
              <w:bottom w:val="single" w:sz="4" w:space="0" w:color="4F81BD"/>
              <w:right w:val="nil"/>
            </w:tcBorders>
            <w:shd w:val="clear" w:color="auto" w:fill="auto"/>
            <w:vAlign w:val="center"/>
            <w:hideMark/>
          </w:tcPr>
          <w:p w14:paraId="55EA7F90" w14:textId="77777777" w:rsidR="00ED46E3" w:rsidRPr="00ED46E3" w:rsidRDefault="00ED46E3" w:rsidP="00ED46E3">
            <w:pPr>
              <w:spacing w:after="0" w:line="240" w:lineRule="auto"/>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xml:space="preserve">Commercial Paper and </w:t>
            </w:r>
            <w:proofErr w:type="spellStart"/>
            <w:r w:rsidRPr="00ED46E3">
              <w:rPr>
                <w:rFonts w:ascii="Arial" w:eastAsia="Times New Roman" w:hAnsi="Arial" w:cs="Arial"/>
                <w:sz w:val="16"/>
                <w:szCs w:val="16"/>
                <w:lang w:val="en-US" w:eastAsia="ja-JP"/>
              </w:rPr>
              <w:t>Certicate</w:t>
            </w:r>
            <w:proofErr w:type="spellEnd"/>
            <w:r w:rsidRPr="00ED46E3">
              <w:rPr>
                <w:rFonts w:ascii="Arial" w:eastAsia="Times New Roman" w:hAnsi="Arial" w:cs="Arial"/>
                <w:sz w:val="16"/>
                <w:szCs w:val="16"/>
                <w:lang w:val="en-US" w:eastAsia="ja-JP"/>
              </w:rPr>
              <w:t xml:space="preserve"> of Deposit</w:t>
            </w:r>
          </w:p>
        </w:tc>
        <w:tc>
          <w:tcPr>
            <w:tcW w:w="992" w:type="dxa"/>
            <w:tcBorders>
              <w:top w:val="nil"/>
              <w:left w:val="nil"/>
              <w:bottom w:val="single" w:sz="4" w:space="0" w:color="4F81BD"/>
              <w:right w:val="nil"/>
            </w:tcBorders>
            <w:shd w:val="clear" w:color="auto" w:fill="auto"/>
            <w:noWrap/>
            <w:vAlign w:val="center"/>
            <w:hideMark/>
          </w:tcPr>
          <w:p w14:paraId="202C966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single" w:sz="4" w:space="0" w:color="4F81BD"/>
              <w:right w:val="nil"/>
            </w:tcBorders>
            <w:shd w:val="clear" w:color="auto" w:fill="auto"/>
            <w:noWrap/>
            <w:vAlign w:val="center"/>
            <w:hideMark/>
          </w:tcPr>
          <w:p w14:paraId="69928DC9"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1134" w:type="dxa"/>
            <w:tcBorders>
              <w:top w:val="nil"/>
              <w:left w:val="nil"/>
              <w:bottom w:val="single" w:sz="4" w:space="0" w:color="4F81BD"/>
              <w:right w:val="nil"/>
            </w:tcBorders>
            <w:shd w:val="clear" w:color="auto" w:fill="auto"/>
            <w:noWrap/>
            <w:vAlign w:val="center"/>
            <w:hideMark/>
          </w:tcPr>
          <w:p w14:paraId="365643D8"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3</w:t>
            </w:r>
          </w:p>
        </w:tc>
        <w:tc>
          <w:tcPr>
            <w:tcW w:w="995" w:type="dxa"/>
            <w:tcBorders>
              <w:top w:val="nil"/>
              <w:left w:val="nil"/>
              <w:bottom w:val="single" w:sz="4" w:space="0" w:color="4F81BD"/>
              <w:right w:val="nil"/>
            </w:tcBorders>
            <w:shd w:val="clear" w:color="auto" w:fill="auto"/>
            <w:noWrap/>
            <w:vAlign w:val="center"/>
            <w:hideMark/>
          </w:tcPr>
          <w:p w14:paraId="2675778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single" w:sz="4" w:space="0" w:color="4F81BD"/>
              <w:right w:val="nil"/>
            </w:tcBorders>
            <w:shd w:val="clear" w:color="auto" w:fill="auto"/>
            <w:noWrap/>
            <w:vAlign w:val="center"/>
            <w:hideMark/>
          </w:tcPr>
          <w:p w14:paraId="0378645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567" w:type="dxa"/>
            <w:tcBorders>
              <w:top w:val="nil"/>
              <w:left w:val="nil"/>
              <w:bottom w:val="single" w:sz="4" w:space="0" w:color="4F81BD"/>
              <w:right w:val="nil"/>
            </w:tcBorders>
            <w:shd w:val="clear" w:color="auto" w:fill="auto"/>
            <w:noWrap/>
            <w:vAlign w:val="center"/>
            <w:hideMark/>
          </w:tcPr>
          <w:p w14:paraId="3CAF4590"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N/A</w:t>
            </w:r>
          </w:p>
        </w:tc>
        <w:tc>
          <w:tcPr>
            <w:tcW w:w="708" w:type="dxa"/>
            <w:tcBorders>
              <w:top w:val="nil"/>
              <w:left w:val="nil"/>
              <w:bottom w:val="single" w:sz="4" w:space="0" w:color="4F81BD"/>
              <w:right w:val="nil"/>
            </w:tcBorders>
            <w:shd w:val="clear" w:color="auto" w:fill="auto"/>
            <w:noWrap/>
            <w:vAlign w:val="center"/>
            <w:hideMark/>
          </w:tcPr>
          <w:p w14:paraId="2B0C6FD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bl>
    <w:p w14:paraId="27B575CD" w14:textId="68C3EF1C" w:rsidR="00D759E4" w:rsidRDefault="00D759E4" w:rsidP="009341D6">
      <w:pPr>
        <w:autoSpaceDE w:val="0"/>
        <w:autoSpaceDN w:val="0"/>
        <w:adjustRightInd w:val="0"/>
        <w:spacing w:after="0"/>
        <w:jc w:val="both"/>
        <w:rPr>
          <w:rFonts w:ascii="Arial" w:hAnsi="Arial" w:cs="Arial"/>
          <w:color w:val="000000"/>
        </w:rPr>
      </w:pPr>
    </w:p>
    <w:p w14:paraId="7774FF4E" w14:textId="77777777" w:rsidR="00902701" w:rsidRDefault="00902701" w:rsidP="00902701">
      <w:pPr>
        <w:pStyle w:val="Default"/>
        <w:spacing w:line="276" w:lineRule="auto"/>
        <w:jc w:val="both"/>
        <w:rPr>
          <w:color w:val="auto"/>
          <w:sz w:val="20"/>
          <w:szCs w:val="20"/>
        </w:rPr>
      </w:pPr>
    </w:p>
    <w:p w14:paraId="5E733843" w14:textId="77777777" w:rsidR="00E17C95" w:rsidRPr="00A61CA7" w:rsidRDefault="00E17C95" w:rsidP="00902701">
      <w:pPr>
        <w:pStyle w:val="Default"/>
        <w:spacing w:line="276" w:lineRule="auto"/>
        <w:jc w:val="both"/>
        <w:rPr>
          <w:color w:val="auto"/>
          <w:sz w:val="20"/>
          <w:szCs w:val="20"/>
        </w:rPr>
      </w:pPr>
      <w:r w:rsidRPr="00A61CA7">
        <w:rPr>
          <w:color w:val="auto"/>
          <w:sz w:val="20"/>
          <w:szCs w:val="20"/>
        </w:rPr>
        <w:t xml:space="preserve">Key: </w:t>
      </w:r>
      <w:r>
        <w:rPr>
          <w:color w:val="auto"/>
          <w:sz w:val="20"/>
          <w:szCs w:val="20"/>
        </w:rPr>
        <w:t>“</w:t>
      </w:r>
      <w:r w:rsidRPr="00A61CA7">
        <w:rPr>
          <w:sz w:val="20"/>
          <w:szCs w:val="20"/>
        </w:rPr>
        <w:t>LINEAR</w:t>
      </w:r>
      <w:r>
        <w:rPr>
          <w:sz w:val="20"/>
          <w:szCs w:val="20"/>
        </w:rPr>
        <w:t>” refers to financial i</w:t>
      </w:r>
      <w:r w:rsidRPr="00A61CA7">
        <w:rPr>
          <w:sz w:val="20"/>
          <w:szCs w:val="20"/>
        </w:rPr>
        <w:t>nstrument</w:t>
      </w:r>
      <w:r>
        <w:rPr>
          <w:sz w:val="20"/>
          <w:szCs w:val="20"/>
        </w:rPr>
        <w:t>s</w:t>
      </w:r>
      <w:r w:rsidRPr="00A61CA7">
        <w:rPr>
          <w:sz w:val="20"/>
          <w:szCs w:val="20"/>
        </w:rPr>
        <w:t xml:space="preserve"> with</w:t>
      </w:r>
      <w:r>
        <w:rPr>
          <w:sz w:val="20"/>
          <w:szCs w:val="20"/>
        </w:rPr>
        <w:t xml:space="preserve"> no</w:t>
      </w:r>
      <w:r w:rsidRPr="00A61CA7">
        <w:rPr>
          <w:sz w:val="20"/>
          <w:szCs w:val="20"/>
        </w:rPr>
        <w:t xml:space="preserve"> volatility exposure</w:t>
      </w:r>
      <w:r>
        <w:rPr>
          <w:sz w:val="20"/>
          <w:szCs w:val="20"/>
        </w:rPr>
        <w:t>; “</w:t>
      </w:r>
      <w:r w:rsidRPr="00A61CA7">
        <w:rPr>
          <w:sz w:val="20"/>
          <w:szCs w:val="20"/>
        </w:rPr>
        <w:t>NON LINEAR</w:t>
      </w:r>
      <w:r>
        <w:rPr>
          <w:sz w:val="20"/>
          <w:szCs w:val="20"/>
        </w:rPr>
        <w:t>” refers to financial i</w:t>
      </w:r>
      <w:r w:rsidRPr="000247C4">
        <w:rPr>
          <w:sz w:val="20"/>
          <w:szCs w:val="20"/>
        </w:rPr>
        <w:t>nstrument</w:t>
      </w:r>
      <w:r>
        <w:rPr>
          <w:sz w:val="20"/>
          <w:szCs w:val="20"/>
        </w:rPr>
        <w:t>s</w:t>
      </w:r>
      <w:r w:rsidRPr="000247C4">
        <w:rPr>
          <w:sz w:val="20"/>
          <w:szCs w:val="20"/>
        </w:rPr>
        <w:t xml:space="preserve"> with</w:t>
      </w:r>
      <w:r w:rsidRPr="00E17C95">
        <w:rPr>
          <w:sz w:val="20"/>
          <w:szCs w:val="20"/>
        </w:rPr>
        <w:t xml:space="preserve"> volatility exposure</w:t>
      </w:r>
      <w:r>
        <w:rPr>
          <w:sz w:val="20"/>
          <w:szCs w:val="20"/>
        </w:rPr>
        <w:t>; “</w:t>
      </w:r>
      <w:r w:rsidRPr="00A61CA7">
        <w:rPr>
          <w:sz w:val="20"/>
          <w:szCs w:val="20"/>
        </w:rPr>
        <w:t>N/A</w:t>
      </w:r>
      <w:r>
        <w:rPr>
          <w:sz w:val="20"/>
          <w:szCs w:val="20"/>
        </w:rPr>
        <w:t>” means</w:t>
      </w:r>
      <w:r w:rsidRPr="00A61CA7">
        <w:rPr>
          <w:sz w:val="20"/>
          <w:szCs w:val="20"/>
        </w:rPr>
        <w:t xml:space="preserve"> </w:t>
      </w:r>
      <w:r w:rsidR="007D0329">
        <w:rPr>
          <w:sz w:val="20"/>
          <w:szCs w:val="20"/>
        </w:rPr>
        <w:t>N</w:t>
      </w:r>
      <w:r w:rsidR="007D0329" w:rsidRPr="00E94542">
        <w:rPr>
          <w:sz w:val="20"/>
          <w:szCs w:val="20"/>
        </w:rPr>
        <w:t xml:space="preserve">ot </w:t>
      </w:r>
      <w:r w:rsidR="007D0329">
        <w:rPr>
          <w:sz w:val="20"/>
          <w:szCs w:val="20"/>
        </w:rPr>
        <w:t>A</w:t>
      </w:r>
      <w:r w:rsidRPr="00A61CA7">
        <w:rPr>
          <w:sz w:val="20"/>
          <w:szCs w:val="20"/>
        </w:rPr>
        <w:t xml:space="preserve">pplicable </w:t>
      </w:r>
      <w:r>
        <w:rPr>
          <w:sz w:val="20"/>
          <w:szCs w:val="20"/>
        </w:rPr>
        <w:t>in the sense that t</w:t>
      </w:r>
      <w:r w:rsidRPr="00A61CA7">
        <w:rPr>
          <w:sz w:val="20"/>
          <w:szCs w:val="20"/>
        </w:rPr>
        <w:t xml:space="preserve">his </w:t>
      </w:r>
      <w:r>
        <w:rPr>
          <w:sz w:val="20"/>
          <w:szCs w:val="20"/>
        </w:rPr>
        <w:t xml:space="preserve">particular </w:t>
      </w:r>
      <w:r w:rsidRPr="00A61CA7">
        <w:rPr>
          <w:sz w:val="20"/>
          <w:szCs w:val="20"/>
        </w:rPr>
        <w:t>factor for this specific instrument</w:t>
      </w:r>
      <w:r w:rsidR="00112A70">
        <w:rPr>
          <w:sz w:val="20"/>
          <w:szCs w:val="20"/>
        </w:rPr>
        <w:t xml:space="preserve"> is irrelevant</w:t>
      </w:r>
      <w:r w:rsidR="00900EFA">
        <w:rPr>
          <w:sz w:val="20"/>
          <w:szCs w:val="20"/>
        </w:rPr>
        <w:t>.</w:t>
      </w:r>
      <w:r w:rsidRPr="00A61CA7">
        <w:rPr>
          <w:sz w:val="20"/>
          <w:szCs w:val="20"/>
        </w:rPr>
        <w:t xml:space="preserve"> </w:t>
      </w:r>
    </w:p>
    <w:p w14:paraId="054255F5" w14:textId="77777777" w:rsidR="00E17C95" w:rsidRDefault="00E17C95" w:rsidP="00D22E22">
      <w:pPr>
        <w:pStyle w:val="Default"/>
        <w:spacing w:line="276" w:lineRule="auto"/>
        <w:jc w:val="both"/>
        <w:rPr>
          <w:color w:val="auto"/>
          <w:sz w:val="22"/>
          <w:szCs w:val="22"/>
        </w:rPr>
      </w:pPr>
    </w:p>
    <w:p w14:paraId="5CE855E5" w14:textId="77777777" w:rsidR="00A34DF4" w:rsidRPr="00A61CA7" w:rsidRDefault="007A7726" w:rsidP="00A61CA7">
      <w:pPr>
        <w:jc w:val="both"/>
        <w:rPr>
          <w:rFonts w:ascii="Arial" w:hAnsi="Arial" w:cs="Arial"/>
          <w:color w:val="000000"/>
        </w:rPr>
      </w:pPr>
      <w:r>
        <w:rPr>
          <w:rFonts w:ascii="Arial" w:hAnsi="Arial" w:cs="Arial"/>
          <w:color w:val="000000"/>
        </w:rPr>
        <w:t>E</w:t>
      </w:r>
      <w:r w:rsidRPr="00355795">
        <w:rPr>
          <w:rFonts w:ascii="Arial" w:hAnsi="Arial" w:cs="Arial"/>
          <w:color w:val="000000"/>
        </w:rPr>
        <w:t>xample</w:t>
      </w:r>
      <w:r>
        <w:rPr>
          <w:rFonts w:ascii="Arial" w:hAnsi="Arial" w:cs="Arial"/>
          <w:color w:val="000000"/>
        </w:rPr>
        <w:t>:</w:t>
      </w:r>
      <w:r w:rsidR="00235749" w:rsidRPr="00A61CA7">
        <w:rPr>
          <w:rFonts w:ascii="Arial" w:hAnsi="Arial" w:cs="Arial"/>
          <w:color w:val="000000"/>
        </w:rPr>
        <w:t xml:space="preserve"> t</w:t>
      </w:r>
      <w:r w:rsidR="00A34DF4" w:rsidRPr="00A61CA7">
        <w:rPr>
          <w:rFonts w:ascii="Arial" w:hAnsi="Arial" w:cs="Arial"/>
          <w:color w:val="000000"/>
        </w:rPr>
        <w:t xml:space="preserve">he </w:t>
      </w:r>
      <w:r w:rsidR="00235749" w:rsidRPr="00A61CA7">
        <w:rPr>
          <w:rFonts w:ascii="Arial" w:hAnsi="Arial" w:cs="Arial"/>
          <w:color w:val="000000"/>
        </w:rPr>
        <w:t xml:space="preserve">most important </w:t>
      </w:r>
      <w:r w:rsidR="00A370F5">
        <w:rPr>
          <w:rFonts w:ascii="Arial" w:hAnsi="Arial" w:cs="Arial"/>
          <w:color w:val="000000"/>
        </w:rPr>
        <w:t xml:space="preserve">execution </w:t>
      </w:r>
      <w:r w:rsidR="00902701" w:rsidRPr="00A61CA7">
        <w:rPr>
          <w:rFonts w:ascii="Arial" w:hAnsi="Arial" w:cs="Arial"/>
          <w:color w:val="000000"/>
        </w:rPr>
        <w:t>factors for</w:t>
      </w:r>
      <w:r w:rsidR="00235749" w:rsidRPr="00A61CA7">
        <w:rPr>
          <w:rFonts w:ascii="Arial" w:hAnsi="Arial" w:cs="Arial"/>
          <w:color w:val="000000"/>
        </w:rPr>
        <w:t xml:space="preserve"> </w:t>
      </w:r>
      <w:r w:rsidR="00A370F5">
        <w:rPr>
          <w:rFonts w:ascii="Arial" w:hAnsi="Arial" w:cs="Arial"/>
          <w:color w:val="000000"/>
        </w:rPr>
        <w:t xml:space="preserve">FX </w:t>
      </w:r>
      <w:r w:rsidR="00CA7072">
        <w:rPr>
          <w:rFonts w:ascii="Arial" w:hAnsi="Arial" w:cs="Arial"/>
          <w:color w:val="000000"/>
        </w:rPr>
        <w:t xml:space="preserve">options </w:t>
      </w:r>
      <w:r w:rsidR="00CA7072" w:rsidRPr="00A61CA7">
        <w:rPr>
          <w:rFonts w:ascii="Arial" w:hAnsi="Arial" w:cs="Arial"/>
          <w:color w:val="000000"/>
        </w:rPr>
        <w:t>are</w:t>
      </w:r>
      <w:r w:rsidR="00A34DF4" w:rsidRPr="00A61CA7">
        <w:rPr>
          <w:rFonts w:ascii="Arial" w:hAnsi="Arial" w:cs="Arial"/>
          <w:color w:val="000000"/>
        </w:rPr>
        <w:t xml:space="preserve"> </w:t>
      </w:r>
      <w:r w:rsidR="002D5550">
        <w:rPr>
          <w:rFonts w:ascii="Arial" w:hAnsi="Arial" w:cs="Arial"/>
          <w:color w:val="000000"/>
        </w:rPr>
        <w:t>p</w:t>
      </w:r>
      <w:r w:rsidR="00A34DF4" w:rsidRPr="00A61CA7">
        <w:rPr>
          <w:rFonts w:ascii="Arial" w:hAnsi="Arial" w:cs="Arial"/>
          <w:color w:val="000000"/>
        </w:rPr>
        <w:t xml:space="preserve">rice, </w:t>
      </w:r>
      <w:r w:rsidR="002D5550">
        <w:rPr>
          <w:rFonts w:ascii="Arial" w:hAnsi="Arial" w:cs="Arial"/>
          <w:color w:val="000000"/>
        </w:rPr>
        <w:t>c</w:t>
      </w:r>
      <w:r w:rsidR="00A34DF4" w:rsidRPr="00A61CA7">
        <w:rPr>
          <w:rFonts w:ascii="Arial" w:hAnsi="Arial" w:cs="Arial"/>
          <w:color w:val="000000"/>
        </w:rPr>
        <w:t xml:space="preserve">ost, </w:t>
      </w:r>
      <w:r w:rsidR="002D5550">
        <w:rPr>
          <w:rFonts w:ascii="Arial" w:hAnsi="Arial" w:cs="Arial"/>
          <w:color w:val="000000"/>
        </w:rPr>
        <w:t>l</w:t>
      </w:r>
      <w:r w:rsidR="00A34DF4" w:rsidRPr="00A61CA7">
        <w:rPr>
          <w:rFonts w:ascii="Arial" w:hAnsi="Arial" w:cs="Arial"/>
          <w:color w:val="000000"/>
        </w:rPr>
        <w:t xml:space="preserve">ikelihood of </w:t>
      </w:r>
      <w:r w:rsidR="002D5550">
        <w:rPr>
          <w:rFonts w:ascii="Arial" w:hAnsi="Arial" w:cs="Arial"/>
          <w:color w:val="000000"/>
        </w:rPr>
        <w:t>e</w:t>
      </w:r>
      <w:r w:rsidR="00A34DF4" w:rsidRPr="00A61CA7">
        <w:rPr>
          <w:rFonts w:ascii="Arial" w:hAnsi="Arial" w:cs="Arial"/>
          <w:color w:val="000000"/>
        </w:rPr>
        <w:t xml:space="preserve">xecution, </w:t>
      </w:r>
      <w:r w:rsidR="002D5550">
        <w:rPr>
          <w:rFonts w:ascii="Arial" w:hAnsi="Arial" w:cs="Arial"/>
          <w:color w:val="000000"/>
        </w:rPr>
        <w:t>o</w:t>
      </w:r>
      <w:r w:rsidR="00A34DF4" w:rsidRPr="00A61CA7">
        <w:rPr>
          <w:rFonts w:ascii="Arial" w:hAnsi="Arial" w:cs="Arial"/>
          <w:color w:val="000000"/>
        </w:rPr>
        <w:t xml:space="preserve">rder </w:t>
      </w:r>
      <w:r w:rsidR="002D5550">
        <w:rPr>
          <w:rFonts w:ascii="Arial" w:hAnsi="Arial" w:cs="Arial"/>
          <w:color w:val="000000"/>
        </w:rPr>
        <w:t>s</w:t>
      </w:r>
      <w:r w:rsidR="00A34DF4" w:rsidRPr="00A61CA7">
        <w:rPr>
          <w:rFonts w:ascii="Arial" w:hAnsi="Arial" w:cs="Arial"/>
          <w:color w:val="000000"/>
        </w:rPr>
        <w:t xml:space="preserve">ize and client </w:t>
      </w:r>
      <w:proofErr w:type="spellStart"/>
      <w:r w:rsidR="002D5550">
        <w:rPr>
          <w:rFonts w:ascii="Arial" w:hAnsi="Arial" w:cs="Arial"/>
          <w:color w:val="000000"/>
        </w:rPr>
        <w:t>t</w:t>
      </w:r>
      <w:r w:rsidR="00A34DF4" w:rsidRPr="00A61CA7">
        <w:rPr>
          <w:rFonts w:ascii="Arial" w:hAnsi="Arial" w:cs="Arial"/>
          <w:color w:val="000000"/>
        </w:rPr>
        <w:t>iering</w:t>
      </w:r>
      <w:proofErr w:type="spellEnd"/>
      <w:r w:rsidR="002A3273">
        <w:rPr>
          <w:rFonts w:ascii="Arial" w:hAnsi="Arial" w:cs="Arial"/>
          <w:color w:val="000000"/>
        </w:rPr>
        <w:t xml:space="preserve"> </w:t>
      </w:r>
      <w:r w:rsidR="00A370F5">
        <w:rPr>
          <w:rFonts w:ascii="Arial" w:hAnsi="Arial" w:cs="Arial"/>
          <w:color w:val="000000"/>
        </w:rPr>
        <w:t>whilst s</w:t>
      </w:r>
      <w:r w:rsidR="00235749" w:rsidRPr="00A61CA7">
        <w:rPr>
          <w:rFonts w:ascii="Arial" w:hAnsi="Arial" w:cs="Arial"/>
          <w:color w:val="000000"/>
        </w:rPr>
        <w:t>econd order importance</w:t>
      </w:r>
      <w:r w:rsidR="002D5550">
        <w:rPr>
          <w:rFonts w:ascii="Arial" w:hAnsi="Arial" w:cs="Arial"/>
          <w:color w:val="000000"/>
        </w:rPr>
        <w:t xml:space="preserve"> </w:t>
      </w:r>
      <w:r w:rsidR="00A370F5">
        <w:rPr>
          <w:rFonts w:ascii="Arial" w:hAnsi="Arial" w:cs="Arial"/>
          <w:color w:val="000000"/>
        </w:rPr>
        <w:t>factors are</w:t>
      </w:r>
      <w:r w:rsidR="00A34DF4" w:rsidRPr="00A61CA7">
        <w:rPr>
          <w:rFonts w:ascii="Arial" w:hAnsi="Arial" w:cs="Arial"/>
          <w:color w:val="000000"/>
        </w:rPr>
        <w:t xml:space="preserve"> </w:t>
      </w:r>
      <w:r w:rsidR="002D5550">
        <w:rPr>
          <w:rFonts w:ascii="Arial" w:hAnsi="Arial" w:cs="Arial"/>
          <w:color w:val="000000"/>
        </w:rPr>
        <w:t>s</w:t>
      </w:r>
      <w:r w:rsidR="00A34DF4" w:rsidRPr="00A61CA7">
        <w:rPr>
          <w:rFonts w:ascii="Arial" w:hAnsi="Arial" w:cs="Arial"/>
          <w:color w:val="000000"/>
        </w:rPr>
        <w:t xml:space="preserve">peed of </w:t>
      </w:r>
      <w:r w:rsidR="002D5550">
        <w:rPr>
          <w:rFonts w:ascii="Arial" w:hAnsi="Arial" w:cs="Arial"/>
          <w:color w:val="000000"/>
        </w:rPr>
        <w:t>e</w:t>
      </w:r>
      <w:r w:rsidR="00A34DF4" w:rsidRPr="00A61CA7">
        <w:rPr>
          <w:rFonts w:ascii="Arial" w:hAnsi="Arial" w:cs="Arial"/>
          <w:color w:val="000000"/>
        </w:rPr>
        <w:t xml:space="preserve">xecution and </w:t>
      </w:r>
      <w:r w:rsidR="002D5550">
        <w:rPr>
          <w:rFonts w:ascii="Arial" w:hAnsi="Arial" w:cs="Arial"/>
          <w:color w:val="000000"/>
        </w:rPr>
        <w:t>o</w:t>
      </w:r>
      <w:r w:rsidR="00A34DF4" w:rsidRPr="00A61CA7">
        <w:rPr>
          <w:rFonts w:ascii="Arial" w:hAnsi="Arial" w:cs="Arial"/>
          <w:color w:val="000000"/>
        </w:rPr>
        <w:t xml:space="preserve">rder </w:t>
      </w:r>
      <w:r w:rsidR="002D5550">
        <w:rPr>
          <w:rFonts w:ascii="Arial" w:hAnsi="Arial" w:cs="Arial"/>
          <w:color w:val="000000"/>
        </w:rPr>
        <w:t>t</w:t>
      </w:r>
      <w:r w:rsidR="00A34DF4" w:rsidRPr="00A61CA7">
        <w:rPr>
          <w:rFonts w:ascii="Arial" w:hAnsi="Arial" w:cs="Arial"/>
          <w:color w:val="000000"/>
        </w:rPr>
        <w:t>ype.</w:t>
      </w:r>
    </w:p>
    <w:p w14:paraId="58340D61" w14:textId="77777777" w:rsidR="00F27103" w:rsidRDefault="00F27103" w:rsidP="00D22E22">
      <w:pPr>
        <w:pStyle w:val="Default"/>
        <w:spacing w:line="276" w:lineRule="auto"/>
        <w:jc w:val="both"/>
        <w:rPr>
          <w:sz w:val="22"/>
          <w:szCs w:val="22"/>
        </w:rPr>
      </w:pPr>
    </w:p>
    <w:p w14:paraId="5FF21E40" w14:textId="77777777" w:rsidR="003F2551" w:rsidRPr="00D22E22" w:rsidRDefault="003F2551" w:rsidP="00D22E22">
      <w:pPr>
        <w:pStyle w:val="Default"/>
        <w:spacing w:line="276" w:lineRule="auto"/>
        <w:jc w:val="both"/>
        <w:rPr>
          <w:sz w:val="22"/>
          <w:szCs w:val="22"/>
        </w:rPr>
      </w:pPr>
    </w:p>
    <w:p w14:paraId="667F592F" w14:textId="77777777" w:rsidR="00D67845" w:rsidRPr="00D22E22" w:rsidRDefault="006374A4" w:rsidP="00D22E22">
      <w:pPr>
        <w:pStyle w:val="Paragraphedeliste"/>
        <w:numPr>
          <w:ilvl w:val="0"/>
          <w:numId w:val="3"/>
        </w:numPr>
        <w:spacing w:after="0"/>
        <w:contextualSpacing w:val="0"/>
        <w:jc w:val="both"/>
        <w:rPr>
          <w:rFonts w:ascii="Arial" w:hAnsi="Arial" w:cs="Arial"/>
          <w:color w:val="1F497D" w:themeColor="text2"/>
        </w:rPr>
      </w:pPr>
      <w:r>
        <w:rPr>
          <w:rFonts w:ascii="Arial" w:hAnsi="Arial" w:cs="Arial"/>
          <w:color w:val="1F497D" w:themeColor="text2"/>
        </w:rPr>
        <w:t>D</w:t>
      </w:r>
      <w:r w:rsidR="00D67845" w:rsidRPr="00D22E22">
        <w:rPr>
          <w:rFonts w:ascii="Arial" w:hAnsi="Arial" w:cs="Arial"/>
          <w:color w:val="1F497D" w:themeColor="text2"/>
        </w:rPr>
        <w:t>escription of any close links, conflicts of interests, and common ownerships with respect to any execution venues used to execute orders</w:t>
      </w:r>
      <w:r w:rsidR="00C8652B">
        <w:rPr>
          <w:rFonts w:ascii="Arial" w:hAnsi="Arial" w:cs="Arial"/>
          <w:color w:val="1F497D" w:themeColor="text2"/>
        </w:rPr>
        <w:t>.</w:t>
      </w:r>
    </w:p>
    <w:p w14:paraId="3E8D5B68" w14:textId="77777777" w:rsidR="009A0D32" w:rsidRPr="00F06631" w:rsidRDefault="009A0D32" w:rsidP="00D22E22">
      <w:pPr>
        <w:pStyle w:val="Default"/>
        <w:spacing w:line="276" w:lineRule="auto"/>
        <w:jc w:val="both"/>
        <w:rPr>
          <w:sz w:val="22"/>
          <w:szCs w:val="22"/>
        </w:rPr>
      </w:pPr>
    </w:p>
    <w:p w14:paraId="4FF87DDF" w14:textId="77777777" w:rsidR="002E2D02" w:rsidRPr="00902701" w:rsidRDefault="00CA7072" w:rsidP="00440AFF">
      <w:pPr>
        <w:pStyle w:val="Default"/>
        <w:spacing w:line="276" w:lineRule="auto"/>
        <w:jc w:val="both"/>
        <w:rPr>
          <w:color w:val="auto"/>
          <w:sz w:val="22"/>
          <w:szCs w:val="22"/>
        </w:rPr>
      </w:pPr>
      <w:r>
        <w:rPr>
          <w:color w:val="auto"/>
          <w:sz w:val="22"/>
          <w:szCs w:val="22"/>
        </w:rPr>
        <w:t xml:space="preserve">As stated above, </w:t>
      </w:r>
      <w:r w:rsidR="00902701" w:rsidRPr="00902701">
        <w:rPr>
          <w:color w:val="auto"/>
          <w:sz w:val="22"/>
          <w:szCs w:val="22"/>
        </w:rPr>
        <w:t>Credit Agricole Corporate and Investment Bank is acting as principal and dealing on its own account. As a result, it does not execute client orders on trading venues</w:t>
      </w:r>
      <w:r w:rsidR="00D67845" w:rsidRPr="00902701">
        <w:rPr>
          <w:color w:val="auto"/>
          <w:sz w:val="22"/>
          <w:szCs w:val="22"/>
        </w:rPr>
        <w:t xml:space="preserve">. </w:t>
      </w:r>
    </w:p>
    <w:p w14:paraId="0B01ACBB" w14:textId="77777777" w:rsidR="00440AFF" w:rsidRPr="00F06631" w:rsidRDefault="00440AFF" w:rsidP="00440AFF">
      <w:pPr>
        <w:pStyle w:val="Default"/>
        <w:spacing w:line="276" w:lineRule="auto"/>
        <w:jc w:val="both"/>
        <w:rPr>
          <w:sz w:val="22"/>
          <w:szCs w:val="22"/>
        </w:rPr>
      </w:pPr>
    </w:p>
    <w:p w14:paraId="5A4C37CE" w14:textId="77777777" w:rsidR="009E6B5C" w:rsidRDefault="009E6B5C" w:rsidP="009E6B5C">
      <w:pPr>
        <w:pStyle w:val="Paragraphedeliste"/>
        <w:numPr>
          <w:ilvl w:val="0"/>
          <w:numId w:val="3"/>
        </w:numPr>
        <w:spacing w:after="0"/>
        <w:contextualSpacing w:val="0"/>
        <w:jc w:val="both"/>
        <w:rPr>
          <w:rFonts w:ascii="Arial" w:hAnsi="Arial" w:cs="Arial"/>
          <w:color w:val="1F497D" w:themeColor="text2"/>
        </w:rPr>
      </w:pPr>
      <w:r>
        <w:rPr>
          <w:rFonts w:ascii="Arial" w:hAnsi="Arial" w:cs="Arial"/>
          <w:color w:val="1F497D" w:themeColor="text2"/>
        </w:rPr>
        <w:t>D</w:t>
      </w:r>
      <w:r w:rsidRPr="00D22E22">
        <w:rPr>
          <w:rFonts w:ascii="Arial" w:hAnsi="Arial" w:cs="Arial"/>
          <w:color w:val="1F497D" w:themeColor="text2"/>
        </w:rPr>
        <w:t xml:space="preserve">escription of any specific arrangements with any execution venues regarding payments made or </w:t>
      </w:r>
      <w:r w:rsidR="00112A70" w:rsidRPr="00D22E22">
        <w:rPr>
          <w:rFonts w:ascii="Arial" w:hAnsi="Arial" w:cs="Arial"/>
          <w:color w:val="1F497D" w:themeColor="text2"/>
        </w:rPr>
        <w:t>received</w:t>
      </w:r>
      <w:r w:rsidRPr="00D22E22">
        <w:rPr>
          <w:rFonts w:ascii="Arial" w:hAnsi="Arial" w:cs="Arial"/>
          <w:color w:val="1F497D" w:themeColor="text2"/>
        </w:rPr>
        <w:t xml:space="preserve"> discounts, rebates or </w:t>
      </w:r>
      <w:r w:rsidR="00C8652B">
        <w:rPr>
          <w:rFonts w:ascii="Arial" w:hAnsi="Arial" w:cs="Arial"/>
          <w:color w:val="1F497D" w:themeColor="text2"/>
        </w:rPr>
        <w:t>non-monetary benefits received.</w:t>
      </w:r>
    </w:p>
    <w:p w14:paraId="3905CAAE" w14:textId="77777777" w:rsidR="00C8652B" w:rsidRDefault="00C8652B" w:rsidP="006F026F">
      <w:pPr>
        <w:pStyle w:val="Paragraphedeliste"/>
        <w:spacing w:after="0"/>
        <w:contextualSpacing w:val="0"/>
        <w:jc w:val="both"/>
        <w:rPr>
          <w:rFonts w:ascii="Arial" w:hAnsi="Arial" w:cs="Arial"/>
          <w:color w:val="1F497D" w:themeColor="text2"/>
        </w:rPr>
      </w:pPr>
    </w:p>
    <w:p w14:paraId="2E3D3DD1" w14:textId="77777777" w:rsidR="009E6B5C" w:rsidRPr="006F026F" w:rsidRDefault="00EC677B" w:rsidP="006F026F">
      <w:pPr>
        <w:pStyle w:val="Paragraphedeliste"/>
        <w:spacing w:after="0"/>
        <w:ind w:left="0"/>
        <w:contextualSpacing w:val="0"/>
        <w:jc w:val="both"/>
        <w:rPr>
          <w:rFonts w:ascii="Arial" w:hAnsi="Arial" w:cs="Arial"/>
        </w:rPr>
      </w:pPr>
      <w:r w:rsidRPr="00D67845">
        <w:rPr>
          <w:rFonts w:ascii="Arial" w:hAnsi="Arial" w:cs="Arial"/>
          <w:color w:val="000000"/>
        </w:rPr>
        <w:t xml:space="preserve">Credit Agricole Corporate and Investment Bank </w:t>
      </w:r>
      <w:r w:rsidR="009E6B5C" w:rsidRPr="006F026F">
        <w:rPr>
          <w:rFonts w:ascii="Arial" w:hAnsi="Arial" w:cs="Arial"/>
        </w:rPr>
        <w:t>do</w:t>
      </w:r>
      <w:r>
        <w:rPr>
          <w:rFonts w:ascii="Arial" w:hAnsi="Arial" w:cs="Arial"/>
        </w:rPr>
        <w:t>es</w:t>
      </w:r>
      <w:r w:rsidR="009E6B5C" w:rsidRPr="006F026F">
        <w:rPr>
          <w:rFonts w:ascii="Arial" w:hAnsi="Arial" w:cs="Arial"/>
        </w:rPr>
        <w:t xml:space="preserve"> not have any arrangements with execution venues apart from the fact that </w:t>
      </w:r>
      <w:r>
        <w:rPr>
          <w:rFonts w:ascii="Arial" w:hAnsi="Arial" w:cs="Arial"/>
        </w:rPr>
        <w:t>it is itself a</w:t>
      </w:r>
      <w:r w:rsidR="009E6B5C" w:rsidRPr="006F026F">
        <w:rPr>
          <w:rFonts w:ascii="Arial" w:hAnsi="Arial" w:cs="Arial"/>
        </w:rPr>
        <w:t xml:space="preserve"> Systematic </w:t>
      </w:r>
      <w:proofErr w:type="spellStart"/>
      <w:r w:rsidR="009E6B5C" w:rsidRPr="006F026F">
        <w:rPr>
          <w:rFonts w:ascii="Arial" w:hAnsi="Arial" w:cs="Arial"/>
        </w:rPr>
        <w:t>Internaliser</w:t>
      </w:r>
      <w:proofErr w:type="spellEnd"/>
      <w:r w:rsidR="00510D25">
        <w:rPr>
          <w:rFonts w:ascii="Arial" w:hAnsi="Arial" w:cs="Arial"/>
        </w:rPr>
        <w:t>. However,</w:t>
      </w:r>
      <w:r w:rsidR="00223186">
        <w:rPr>
          <w:rFonts w:ascii="Arial" w:hAnsi="Arial" w:cs="Arial"/>
        </w:rPr>
        <w:t xml:space="preserve"> there are no execution costs incurred by the client </w:t>
      </w:r>
      <w:r w:rsidR="00510D25">
        <w:rPr>
          <w:rFonts w:ascii="Arial" w:hAnsi="Arial" w:cs="Arial"/>
        </w:rPr>
        <w:t>in this regard</w:t>
      </w:r>
      <w:r w:rsidR="00900EFA">
        <w:rPr>
          <w:rFonts w:ascii="Arial" w:hAnsi="Arial" w:cs="Arial"/>
        </w:rPr>
        <w:t>.</w:t>
      </w:r>
    </w:p>
    <w:p w14:paraId="7E795523" w14:textId="77777777" w:rsidR="003F2551" w:rsidRPr="00D22E22" w:rsidRDefault="003F2551" w:rsidP="006F026F">
      <w:pPr>
        <w:pStyle w:val="Paragraphedeliste"/>
        <w:spacing w:after="0"/>
        <w:contextualSpacing w:val="0"/>
        <w:jc w:val="both"/>
        <w:rPr>
          <w:rFonts w:ascii="Arial" w:hAnsi="Arial" w:cs="Arial"/>
          <w:color w:val="1F497D" w:themeColor="text2"/>
        </w:rPr>
      </w:pPr>
    </w:p>
    <w:p w14:paraId="0FC4143B" w14:textId="77777777" w:rsidR="009E6B5C" w:rsidRDefault="009E6B5C" w:rsidP="009E6B5C">
      <w:pPr>
        <w:pStyle w:val="Paragraphedeliste"/>
        <w:numPr>
          <w:ilvl w:val="0"/>
          <w:numId w:val="3"/>
        </w:numPr>
        <w:spacing w:after="0"/>
        <w:contextualSpacing w:val="0"/>
        <w:jc w:val="both"/>
        <w:rPr>
          <w:rFonts w:ascii="Arial" w:hAnsi="Arial" w:cs="Arial"/>
          <w:color w:val="1F497D" w:themeColor="text2"/>
        </w:rPr>
      </w:pPr>
      <w:r>
        <w:rPr>
          <w:rFonts w:ascii="Arial" w:hAnsi="Arial" w:cs="Arial"/>
          <w:color w:val="1F497D" w:themeColor="text2"/>
        </w:rPr>
        <w:t>E</w:t>
      </w:r>
      <w:r w:rsidRPr="00D22E22">
        <w:rPr>
          <w:rFonts w:ascii="Arial" w:hAnsi="Arial" w:cs="Arial"/>
          <w:color w:val="1F497D" w:themeColor="text2"/>
        </w:rPr>
        <w:t>xplanation of the factors that led to a change in the list of execution venues listed in the firm’s execution po</w:t>
      </w:r>
      <w:r w:rsidR="00C8652B">
        <w:rPr>
          <w:rFonts w:ascii="Arial" w:hAnsi="Arial" w:cs="Arial"/>
          <w:color w:val="1F497D" w:themeColor="text2"/>
        </w:rPr>
        <w:t>licy, if such a change occurred.</w:t>
      </w:r>
    </w:p>
    <w:p w14:paraId="7048E04A" w14:textId="77777777" w:rsidR="00C8652B" w:rsidRPr="00D22E22" w:rsidRDefault="00C8652B" w:rsidP="006F026F">
      <w:pPr>
        <w:pStyle w:val="Paragraphedeliste"/>
        <w:spacing w:after="0"/>
        <w:contextualSpacing w:val="0"/>
        <w:jc w:val="both"/>
        <w:rPr>
          <w:rFonts w:ascii="Arial" w:hAnsi="Arial" w:cs="Arial"/>
          <w:color w:val="1F497D" w:themeColor="text2"/>
        </w:rPr>
      </w:pPr>
    </w:p>
    <w:p w14:paraId="36D17450" w14:textId="77777777" w:rsidR="009E6B5C" w:rsidRDefault="009E6B5C" w:rsidP="006F026F">
      <w:pPr>
        <w:pStyle w:val="Default"/>
        <w:spacing w:line="276" w:lineRule="auto"/>
        <w:jc w:val="both"/>
        <w:rPr>
          <w:sz w:val="22"/>
          <w:szCs w:val="22"/>
        </w:rPr>
      </w:pPr>
      <w:r w:rsidRPr="00D22E22">
        <w:rPr>
          <w:sz w:val="22"/>
          <w:szCs w:val="22"/>
        </w:rPr>
        <w:t>Credit Agricole Corporate and Investment Bank</w:t>
      </w:r>
      <w:r>
        <w:rPr>
          <w:sz w:val="22"/>
          <w:szCs w:val="22"/>
        </w:rPr>
        <w:t xml:space="preserve"> executes orders </w:t>
      </w:r>
      <w:r w:rsidR="00C00492" w:rsidRPr="00D22E22">
        <w:rPr>
          <w:sz w:val="22"/>
          <w:szCs w:val="22"/>
        </w:rPr>
        <w:t xml:space="preserve">directly </w:t>
      </w:r>
      <w:r w:rsidRPr="00D22E22">
        <w:rPr>
          <w:sz w:val="22"/>
          <w:szCs w:val="22"/>
        </w:rPr>
        <w:t>against client</w:t>
      </w:r>
      <w:r>
        <w:rPr>
          <w:sz w:val="22"/>
          <w:szCs w:val="22"/>
        </w:rPr>
        <w:t>s,</w:t>
      </w:r>
      <w:r w:rsidRPr="00D22E22">
        <w:rPr>
          <w:sz w:val="22"/>
          <w:szCs w:val="22"/>
        </w:rPr>
        <w:t xml:space="preserve"> acting as principal and dealing on its own account</w:t>
      </w:r>
      <w:r>
        <w:rPr>
          <w:sz w:val="22"/>
          <w:szCs w:val="22"/>
        </w:rPr>
        <w:t xml:space="preserve">. </w:t>
      </w:r>
      <w:r w:rsidR="002747F4">
        <w:rPr>
          <w:sz w:val="22"/>
          <w:szCs w:val="22"/>
        </w:rPr>
        <w:t>As a result, i</w:t>
      </w:r>
      <w:r>
        <w:rPr>
          <w:sz w:val="22"/>
          <w:szCs w:val="22"/>
        </w:rPr>
        <w:t xml:space="preserve">t does not </w:t>
      </w:r>
      <w:r w:rsidR="00902701">
        <w:rPr>
          <w:sz w:val="22"/>
          <w:szCs w:val="22"/>
        </w:rPr>
        <w:t>use a</w:t>
      </w:r>
      <w:r>
        <w:rPr>
          <w:sz w:val="22"/>
          <w:szCs w:val="22"/>
        </w:rPr>
        <w:t xml:space="preserve"> list of execution venues</w:t>
      </w:r>
      <w:r w:rsidR="002747F4">
        <w:rPr>
          <w:sz w:val="22"/>
          <w:szCs w:val="22"/>
        </w:rPr>
        <w:t xml:space="preserve"> as part of</w:t>
      </w:r>
      <w:r>
        <w:rPr>
          <w:sz w:val="22"/>
          <w:szCs w:val="22"/>
        </w:rPr>
        <w:t xml:space="preserve"> its execution policy. </w:t>
      </w:r>
    </w:p>
    <w:p w14:paraId="1C67FD9A" w14:textId="77777777" w:rsidR="00D67845" w:rsidRPr="00D22E22" w:rsidRDefault="00D67845" w:rsidP="00D22E22">
      <w:pPr>
        <w:pStyle w:val="Default"/>
        <w:spacing w:line="276" w:lineRule="auto"/>
        <w:jc w:val="both"/>
        <w:rPr>
          <w:sz w:val="22"/>
          <w:szCs w:val="22"/>
        </w:rPr>
      </w:pPr>
    </w:p>
    <w:p w14:paraId="5C78BCEF" w14:textId="77777777" w:rsidR="00D67845" w:rsidRPr="00C8652B" w:rsidRDefault="006374A4" w:rsidP="006F026F">
      <w:pPr>
        <w:pStyle w:val="Paragraphedeliste"/>
        <w:numPr>
          <w:ilvl w:val="0"/>
          <w:numId w:val="3"/>
        </w:numPr>
        <w:spacing w:after="0"/>
        <w:contextualSpacing w:val="0"/>
        <w:jc w:val="both"/>
        <w:rPr>
          <w:lang w:val="en-US"/>
        </w:rPr>
      </w:pPr>
      <w:r w:rsidRPr="006F026F">
        <w:rPr>
          <w:rFonts w:ascii="Arial" w:hAnsi="Arial" w:cs="Arial"/>
          <w:color w:val="1F497D" w:themeColor="text2"/>
        </w:rPr>
        <w:t>E</w:t>
      </w:r>
      <w:r w:rsidR="00D67845" w:rsidRPr="006F026F">
        <w:rPr>
          <w:rFonts w:ascii="Arial" w:hAnsi="Arial" w:cs="Arial"/>
          <w:color w:val="1F497D" w:themeColor="text2"/>
        </w:rPr>
        <w:t xml:space="preserve">xplanation of how order execution differs according to client </w:t>
      </w:r>
      <w:r w:rsidR="00433739" w:rsidRPr="006F026F">
        <w:rPr>
          <w:rFonts w:ascii="Arial" w:hAnsi="Arial" w:cs="Arial"/>
          <w:color w:val="1F497D" w:themeColor="text2"/>
        </w:rPr>
        <w:t>categorization</w:t>
      </w:r>
      <w:r w:rsidR="00D67845" w:rsidRPr="006F026F">
        <w:rPr>
          <w:rFonts w:ascii="Arial" w:hAnsi="Arial" w:cs="Arial"/>
          <w:color w:val="1F497D" w:themeColor="text2"/>
        </w:rPr>
        <w:t>, where the firm treats categories of clients differently and where it may affect the order execution arrangements</w:t>
      </w:r>
      <w:r w:rsidR="00C8652B" w:rsidRPr="006F026F">
        <w:rPr>
          <w:rFonts w:ascii="Arial" w:hAnsi="Arial" w:cs="Arial"/>
          <w:color w:val="1F497D" w:themeColor="text2"/>
        </w:rPr>
        <w:t>.</w:t>
      </w:r>
    </w:p>
    <w:p w14:paraId="1EF4FB50" w14:textId="77777777" w:rsidR="007A7726" w:rsidRDefault="007A7726" w:rsidP="00D22E22">
      <w:pPr>
        <w:pStyle w:val="Paragraphedeliste"/>
        <w:ind w:left="0"/>
        <w:jc w:val="both"/>
        <w:rPr>
          <w:rFonts w:ascii="Arial" w:eastAsia="Times New Roman" w:hAnsi="Arial" w:cs="Arial"/>
          <w:bCs/>
          <w:strike/>
          <w:color w:val="000000"/>
          <w:kern w:val="24"/>
        </w:rPr>
      </w:pPr>
    </w:p>
    <w:p w14:paraId="3759E16A" w14:textId="77777777" w:rsidR="00B3471A" w:rsidRPr="00516EC6" w:rsidRDefault="00516EC6" w:rsidP="00516EC6">
      <w:pPr>
        <w:pStyle w:val="Paragraphedeliste"/>
        <w:spacing w:after="0"/>
        <w:ind w:left="0"/>
        <w:contextualSpacing w:val="0"/>
        <w:jc w:val="both"/>
        <w:rPr>
          <w:rFonts w:ascii="Arial" w:hAnsi="Arial" w:cs="Arial"/>
          <w:color w:val="000000"/>
        </w:rPr>
      </w:pPr>
      <w:r w:rsidRPr="00516EC6">
        <w:rPr>
          <w:rFonts w:ascii="Arial" w:hAnsi="Arial" w:cs="Arial"/>
          <w:color w:val="000000"/>
        </w:rPr>
        <w:t>Order execution (handling of RFQs) can vary between different asset classes and between different client categories in several ways: It can –but doesn’t systematically- impact (i) the bid-offer spread and (ii) the size for which a price is valid. The components of a price (level, size, etc.) not only vary between asset classes and products, but can also change over time, specifically during illiquid and/or volatile market conditions. Order execution and client experience can therefore vary over time and on the premise that certain elements such as price and size can be made in the context of the overall client relationship and overall client experience, as well as in the context of the asset class and its current prevailing market conditions</w:t>
      </w:r>
      <w:r>
        <w:rPr>
          <w:rFonts w:ascii="Arial" w:hAnsi="Arial" w:cs="Arial"/>
          <w:color w:val="000000"/>
        </w:rPr>
        <w:t>.</w:t>
      </w:r>
    </w:p>
    <w:p w14:paraId="0E295F93" w14:textId="77777777" w:rsidR="00516EC6" w:rsidRPr="00D22E22" w:rsidRDefault="00516EC6" w:rsidP="00D22E22">
      <w:pPr>
        <w:pStyle w:val="Paragraphedeliste"/>
        <w:spacing w:after="0"/>
        <w:ind w:left="1080"/>
        <w:contextualSpacing w:val="0"/>
        <w:jc w:val="both"/>
        <w:rPr>
          <w:rFonts w:ascii="Arial" w:hAnsi="Arial" w:cs="Arial"/>
          <w:color w:val="1F497D" w:themeColor="text2"/>
        </w:rPr>
      </w:pPr>
    </w:p>
    <w:p w14:paraId="6444497D" w14:textId="77777777" w:rsidR="00D22E22" w:rsidRPr="00D22E22" w:rsidRDefault="006374A4" w:rsidP="00D22E22">
      <w:pPr>
        <w:pStyle w:val="Paragraphedeliste"/>
        <w:numPr>
          <w:ilvl w:val="0"/>
          <w:numId w:val="3"/>
        </w:numPr>
        <w:spacing w:after="0"/>
        <w:contextualSpacing w:val="0"/>
        <w:jc w:val="both"/>
        <w:rPr>
          <w:rFonts w:ascii="Arial" w:hAnsi="Arial" w:cs="Arial"/>
          <w:color w:val="1F497D" w:themeColor="text2"/>
        </w:rPr>
      </w:pPr>
      <w:r>
        <w:rPr>
          <w:rFonts w:ascii="Arial" w:hAnsi="Arial" w:cs="Arial"/>
          <w:color w:val="1F497D" w:themeColor="text2"/>
        </w:rPr>
        <w:t>E</w:t>
      </w:r>
      <w:r w:rsidR="00DF20EE" w:rsidRPr="00D22E22">
        <w:rPr>
          <w:rFonts w:ascii="Arial" w:hAnsi="Arial" w:cs="Arial"/>
          <w:color w:val="1F497D" w:themeColor="text2"/>
        </w:rPr>
        <w:t>xplanation of whether other criteria were given precedence over immediate price and cost when executing retail client orders and how these other criteria were instrumental in delivering the best possible result in terms of the total consideration to the client</w:t>
      </w:r>
      <w:r w:rsidR="00C8652B">
        <w:rPr>
          <w:rFonts w:ascii="Arial" w:hAnsi="Arial" w:cs="Arial"/>
          <w:color w:val="1F497D" w:themeColor="text2"/>
        </w:rPr>
        <w:t>.</w:t>
      </w:r>
    </w:p>
    <w:p w14:paraId="2AC43E5E" w14:textId="77777777" w:rsidR="00D22E22" w:rsidRPr="00D22E22" w:rsidRDefault="00D22E22" w:rsidP="00D22E22">
      <w:pPr>
        <w:pStyle w:val="Paragraphedeliste"/>
        <w:spacing w:after="0"/>
        <w:ind w:left="1080"/>
        <w:contextualSpacing w:val="0"/>
        <w:jc w:val="both"/>
        <w:rPr>
          <w:rFonts w:ascii="Arial" w:hAnsi="Arial" w:cs="Arial"/>
          <w:color w:val="1F497D" w:themeColor="text2"/>
        </w:rPr>
      </w:pPr>
    </w:p>
    <w:p w14:paraId="45995C96" w14:textId="77777777" w:rsidR="00D22E22" w:rsidRPr="00D22E22" w:rsidRDefault="00D22E22" w:rsidP="004D085C">
      <w:pPr>
        <w:pStyle w:val="Default"/>
        <w:spacing w:line="276" w:lineRule="auto"/>
        <w:jc w:val="both"/>
        <w:rPr>
          <w:sz w:val="22"/>
          <w:szCs w:val="22"/>
        </w:rPr>
      </w:pPr>
      <w:r w:rsidRPr="00D22E22">
        <w:rPr>
          <w:sz w:val="22"/>
          <w:szCs w:val="22"/>
        </w:rPr>
        <w:t>When dealing with Retail Clients, we will assume that the clients rely on us to protect their interests,</w:t>
      </w:r>
      <w:r w:rsidR="00B96D8B">
        <w:rPr>
          <w:sz w:val="22"/>
          <w:szCs w:val="22"/>
        </w:rPr>
        <w:t xml:space="preserve"> </w:t>
      </w:r>
      <w:r w:rsidRPr="00D22E22">
        <w:rPr>
          <w:sz w:val="22"/>
          <w:szCs w:val="22"/>
        </w:rPr>
        <w:t xml:space="preserve">hence we will apply Best Execution to all </w:t>
      </w:r>
      <w:r w:rsidR="00B96D8B">
        <w:rPr>
          <w:sz w:val="22"/>
          <w:szCs w:val="22"/>
        </w:rPr>
        <w:t>of the</w:t>
      </w:r>
      <w:r w:rsidR="00371E00">
        <w:rPr>
          <w:sz w:val="22"/>
          <w:szCs w:val="22"/>
        </w:rPr>
        <w:t xml:space="preserve"> orders</w:t>
      </w:r>
      <w:r w:rsidRPr="00D22E22">
        <w:rPr>
          <w:sz w:val="22"/>
          <w:szCs w:val="22"/>
        </w:rPr>
        <w:t>. For the purposes of ensuring that Credit Agricole Corporate and Investment Bank obtains the best possible result for the client</w:t>
      </w:r>
      <w:r w:rsidR="00AB633B">
        <w:rPr>
          <w:sz w:val="22"/>
          <w:szCs w:val="22"/>
        </w:rPr>
        <w:t xml:space="preserve">, </w:t>
      </w:r>
      <w:r w:rsidRPr="00D22E22">
        <w:rPr>
          <w:sz w:val="22"/>
          <w:szCs w:val="22"/>
        </w:rPr>
        <w:t>in the absence of specific client instructions</w:t>
      </w:r>
      <w:r w:rsidR="00AB633B">
        <w:rPr>
          <w:sz w:val="22"/>
          <w:szCs w:val="22"/>
        </w:rPr>
        <w:t>,</w:t>
      </w:r>
      <w:r w:rsidRPr="00D22E22">
        <w:rPr>
          <w:sz w:val="22"/>
          <w:szCs w:val="22"/>
        </w:rPr>
        <w:t xml:space="preserve"> we will strive to take into consideration all factors that will allow us to deliver the best possible result in terms of total consideration, </w:t>
      </w:r>
      <w:r w:rsidR="00AB633B">
        <w:rPr>
          <w:sz w:val="22"/>
          <w:szCs w:val="22"/>
        </w:rPr>
        <w:t>including</w:t>
      </w:r>
      <w:r w:rsidR="00AB633B" w:rsidRPr="00D22E22">
        <w:rPr>
          <w:sz w:val="22"/>
          <w:szCs w:val="22"/>
        </w:rPr>
        <w:t xml:space="preserve"> </w:t>
      </w:r>
      <w:r w:rsidRPr="00D22E22">
        <w:rPr>
          <w:sz w:val="22"/>
          <w:szCs w:val="22"/>
        </w:rPr>
        <w:t xml:space="preserve">the price of the </w:t>
      </w:r>
      <w:r w:rsidR="00B96D8B">
        <w:rPr>
          <w:sz w:val="22"/>
          <w:szCs w:val="22"/>
        </w:rPr>
        <w:t>f</w:t>
      </w:r>
      <w:r w:rsidRPr="00D22E22">
        <w:rPr>
          <w:sz w:val="22"/>
          <w:szCs w:val="22"/>
        </w:rPr>
        <w:t xml:space="preserve">inancial </w:t>
      </w:r>
      <w:r w:rsidR="00B96D8B">
        <w:rPr>
          <w:sz w:val="22"/>
          <w:szCs w:val="22"/>
        </w:rPr>
        <w:t>i</w:t>
      </w:r>
      <w:r w:rsidRPr="00D22E22">
        <w:rPr>
          <w:sz w:val="22"/>
          <w:szCs w:val="22"/>
        </w:rPr>
        <w:t>nstrument and the costs related to execution. Speed, likelihood of execution and settlement, size</w:t>
      </w:r>
      <w:r w:rsidR="00AB633B">
        <w:rPr>
          <w:sz w:val="22"/>
          <w:szCs w:val="22"/>
        </w:rPr>
        <w:t>,</w:t>
      </w:r>
      <w:r w:rsidRPr="00D22E22">
        <w:rPr>
          <w:sz w:val="22"/>
          <w:szCs w:val="22"/>
        </w:rPr>
        <w:t xml:space="preserve"> nature of the order, market impact and any other implicit transaction costs may be given precedence over the immediate price and cost consideration only insofar as they are instrumental in delivering the best possible result in terms of total consideration </w:t>
      </w:r>
      <w:r w:rsidR="00AB633B">
        <w:rPr>
          <w:sz w:val="22"/>
          <w:szCs w:val="22"/>
        </w:rPr>
        <w:t>for</w:t>
      </w:r>
      <w:r w:rsidRPr="00D22E22">
        <w:rPr>
          <w:sz w:val="22"/>
          <w:szCs w:val="22"/>
        </w:rPr>
        <w:t xml:space="preserve"> the retail client.</w:t>
      </w:r>
    </w:p>
    <w:p w14:paraId="2781C86D" w14:textId="77777777" w:rsidR="00D22E22" w:rsidRPr="00D22E22" w:rsidRDefault="00D22E22" w:rsidP="00D22E22">
      <w:pPr>
        <w:pStyle w:val="Default"/>
        <w:spacing w:line="276" w:lineRule="auto"/>
        <w:ind w:left="1080"/>
        <w:jc w:val="both"/>
        <w:rPr>
          <w:sz w:val="22"/>
          <w:szCs w:val="22"/>
        </w:rPr>
      </w:pPr>
    </w:p>
    <w:p w14:paraId="38F2C096" w14:textId="77777777" w:rsidR="00D22E22" w:rsidRPr="00D22E22" w:rsidRDefault="00D22E22" w:rsidP="00D22E22">
      <w:pPr>
        <w:pStyle w:val="Default"/>
        <w:spacing w:line="276" w:lineRule="auto"/>
        <w:jc w:val="both"/>
        <w:rPr>
          <w:sz w:val="22"/>
          <w:szCs w:val="22"/>
        </w:rPr>
      </w:pPr>
      <w:r w:rsidRPr="00D22E22">
        <w:rPr>
          <w:sz w:val="22"/>
          <w:szCs w:val="22"/>
        </w:rPr>
        <w:t xml:space="preserve">These factors may vary </w:t>
      </w:r>
      <w:r w:rsidR="00902701" w:rsidRPr="00D22E22">
        <w:rPr>
          <w:sz w:val="22"/>
          <w:szCs w:val="22"/>
        </w:rPr>
        <w:t>in case</w:t>
      </w:r>
      <w:r w:rsidRPr="00D22E22">
        <w:rPr>
          <w:sz w:val="22"/>
          <w:szCs w:val="22"/>
        </w:rPr>
        <w:t xml:space="preserve"> </w:t>
      </w:r>
      <w:r w:rsidR="00902701" w:rsidRPr="00D22E22">
        <w:rPr>
          <w:sz w:val="22"/>
          <w:szCs w:val="22"/>
        </w:rPr>
        <w:t>of stressed</w:t>
      </w:r>
      <w:r w:rsidRPr="00D22E22">
        <w:rPr>
          <w:sz w:val="22"/>
          <w:szCs w:val="22"/>
        </w:rPr>
        <w:t xml:space="preserve"> market</w:t>
      </w:r>
      <w:r w:rsidR="00FC3B9D">
        <w:rPr>
          <w:sz w:val="22"/>
          <w:szCs w:val="22"/>
        </w:rPr>
        <w:t>s</w:t>
      </w:r>
      <w:r w:rsidRPr="00D22E22">
        <w:rPr>
          <w:sz w:val="22"/>
          <w:szCs w:val="22"/>
        </w:rPr>
        <w:t xml:space="preserve">, depending on available liquidity. </w:t>
      </w:r>
      <w:r w:rsidR="00B96D8B">
        <w:rPr>
          <w:sz w:val="22"/>
          <w:szCs w:val="22"/>
        </w:rPr>
        <w:t>For large</w:t>
      </w:r>
      <w:r w:rsidRPr="00D22E22">
        <w:rPr>
          <w:sz w:val="22"/>
          <w:szCs w:val="22"/>
        </w:rPr>
        <w:t xml:space="preserve"> volume</w:t>
      </w:r>
      <w:r w:rsidR="00B96D8B">
        <w:rPr>
          <w:sz w:val="22"/>
          <w:szCs w:val="22"/>
        </w:rPr>
        <w:t>s</w:t>
      </w:r>
      <w:r w:rsidRPr="00D22E22">
        <w:rPr>
          <w:sz w:val="22"/>
          <w:szCs w:val="22"/>
        </w:rPr>
        <w:t xml:space="preserve"> and </w:t>
      </w:r>
      <w:r w:rsidR="00B96D8B">
        <w:rPr>
          <w:sz w:val="22"/>
          <w:szCs w:val="22"/>
        </w:rPr>
        <w:t xml:space="preserve">extreme </w:t>
      </w:r>
      <w:r w:rsidRPr="00D22E22">
        <w:rPr>
          <w:sz w:val="22"/>
          <w:szCs w:val="22"/>
        </w:rPr>
        <w:t xml:space="preserve">volatility situations, exchange system constraints may require automated trading systems to be switched off and/or electronic order routing to be suspended </w:t>
      </w:r>
      <w:r w:rsidRPr="00D22E22">
        <w:rPr>
          <w:sz w:val="22"/>
          <w:szCs w:val="22"/>
        </w:rPr>
        <w:lastRenderedPageBreak/>
        <w:t xml:space="preserve">in favour of manual execution. Such events </w:t>
      </w:r>
      <w:r w:rsidR="00D96241">
        <w:rPr>
          <w:sz w:val="22"/>
          <w:szCs w:val="22"/>
        </w:rPr>
        <w:t xml:space="preserve">may </w:t>
      </w:r>
      <w:r w:rsidRPr="00D22E22">
        <w:rPr>
          <w:sz w:val="22"/>
          <w:szCs w:val="22"/>
        </w:rPr>
        <w:t xml:space="preserve">lead </w:t>
      </w:r>
      <w:r w:rsidR="00902701" w:rsidRPr="00D22E22">
        <w:rPr>
          <w:sz w:val="22"/>
          <w:szCs w:val="22"/>
        </w:rPr>
        <w:t>to execution</w:t>
      </w:r>
      <w:r w:rsidRPr="00D22E22">
        <w:rPr>
          <w:sz w:val="22"/>
          <w:szCs w:val="22"/>
        </w:rPr>
        <w:t xml:space="preserve"> delays and increased market volatility</w:t>
      </w:r>
      <w:r w:rsidR="00D96241">
        <w:rPr>
          <w:sz w:val="22"/>
          <w:szCs w:val="22"/>
        </w:rPr>
        <w:t xml:space="preserve">. </w:t>
      </w:r>
      <w:r w:rsidRPr="00D22E22">
        <w:rPr>
          <w:sz w:val="22"/>
          <w:szCs w:val="22"/>
        </w:rPr>
        <w:t xml:space="preserve"> </w:t>
      </w:r>
    </w:p>
    <w:p w14:paraId="53D2FCCE" w14:textId="77777777" w:rsidR="00D22E22" w:rsidRPr="00D22E22" w:rsidRDefault="00D22E22" w:rsidP="00D22E22">
      <w:pPr>
        <w:pStyle w:val="Default"/>
        <w:spacing w:line="276" w:lineRule="auto"/>
        <w:ind w:left="1080"/>
        <w:jc w:val="both"/>
        <w:rPr>
          <w:sz w:val="22"/>
          <w:szCs w:val="22"/>
        </w:rPr>
      </w:pPr>
    </w:p>
    <w:p w14:paraId="60393B28" w14:textId="77777777" w:rsidR="00D22E22" w:rsidRPr="00D22E22" w:rsidRDefault="00516EC6" w:rsidP="00D22E22">
      <w:pPr>
        <w:pStyle w:val="Default"/>
        <w:spacing w:line="276" w:lineRule="auto"/>
        <w:jc w:val="both"/>
        <w:rPr>
          <w:sz w:val="22"/>
          <w:szCs w:val="22"/>
        </w:rPr>
      </w:pPr>
      <w:r w:rsidRPr="00D22E22">
        <w:rPr>
          <w:sz w:val="22"/>
          <w:szCs w:val="22"/>
        </w:rPr>
        <w:t xml:space="preserve">In </w:t>
      </w:r>
      <w:r>
        <w:rPr>
          <w:sz w:val="22"/>
          <w:szCs w:val="22"/>
        </w:rPr>
        <w:t>highly</w:t>
      </w:r>
      <w:r w:rsidR="00D96241">
        <w:rPr>
          <w:sz w:val="22"/>
          <w:szCs w:val="22"/>
        </w:rPr>
        <w:t xml:space="preserve"> volatile </w:t>
      </w:r>
      <w:r w:rsidR="00D22E22" w:rsidRPr="00D22E22">
        <w:rPr>
          <w:sz w:val="22"/>
          <w:szCs w:val="22"/>
        </w:rPr>
        <w:t>markets,</w:t>
      </w:r>
      <w:r w:rsidR="005656E1">
        <w:rPr>
          <w:sz w:val="22"/>
          <w:szCs w:val="22"/>
        </w:rPr>
        <w:t xml:space="preserve"> finding the best tim</w:t>
      </w:r>
      <w:r w:rsidR="00064C0C">
        <w:rPr>
          <w:sz w:val="22"/>
          <w:szCs w:val="22"/>
        </w:rPr>
        <w:t>ing for</w:t>
      </w:r>
      <w:r w:rsidR="00D22E22" w:rsidRPr="00D22E22">
        <w:rPr>
          <w:sz w:val="22"/>
          <w:szCs w:val="22"/>
        </w:rPr>
        <w:t xml:space="preserve"> execution is a priority, whereas in </w:t>
      </w:r>
      <w:r w:rsidR="00D96241">
        <w:rPr>
          <w:sz w:val="22"/>
          <w:szCs w:val="22"/>
        </w:rPr>
        <w:t xml:space="preserve">low </w:t>
      </w:r>
      <w:r w:rsidR="00644077">
        <w:rPr>
          <w:sz w:val="22"/>
          <w:szCs w:val="22"/>
        </w:rPr>
        <w:t xml:space="preserve">liquidity </w:t>
      </w:r>
      <w:r w:rsidR="00644077" w:rsidRPr="00D22E22">
        <w:rPr>
          <w:sz w:val="22"/>
          <w:szCs w:val="22"/>
        </w:rPr>
        <w:t>markets</w:t>
      </w:r>
      <w:r w:rsidR="00D22E22" w:rsidRPr="00D22E22">
        <w:rPr>
          <w:sz w:val="22"/>
          <w:szCs w:val="22"/>
        </w:rPr>
        <w:t>, the</w:t>
      </w:r>
      <w:r w:rsidR="005656E1">
        <w:rPr>
          <w:sz w:val="22"/>
          <w:szCs w:val="22"/>
        </w:rPr>
        <w:t xml:space="preserve"> priority will be to fulfil the Retail client’s request in an orderly way.</w:t>
      </w:r>
    </w:p>
    <w:p w14:paraId="0E9F62F2" w14:textId="77777777" w:rsidR="00D22E22" w:rsidRPr="00D22E22" w:rsidRDefault="00D22E22" w:rsidP="00D22E22">
      <w:pPr>
        <w:pStyle w:val="Paragraphedeliste"/>
        <w:spacing w:after="0"/>
        <w:ind w:left="1080"/>
        <w:contextualSpacing w:val="0"/>
        <w:jc w:val="both"/>
        <w:rPr>
          <w:rFonts w:ascii="Arial" w:hAnsi="Arial" w:cs="Arial"/>
          <w:color w:val="1F497D" w:themeColor="text2"/>
        </w:rPr>
      </w:pPr>
    </w:p>
    <w:p w14:paraId="13A3A998" w14:textId="77777777" w:rsidR="00D22E22" w:rsidRPr="00D22E22" w:rsidRDefault="006374A4" w:rsidP="00D22E22">
      <w:pPr>
        <w:pStyle w:val="Paragraphedeliste"/>
        <w:numPr>
          <w:ilvl w:val="0"/>
          <w:numId w:val="3"/>
        </w:numPr>
        <w:spacing w:after="0"/>
        <w:contextualSpacing w:val="0"/>
        <w:jc w:val="both"/>
        <w:rPr>
          <w:rFonts w:ascii="Arial" w:hAnsi="Arial" w:cs="Arial"/>
          <w:color w:val="1F497D" w:themeColor="text2"/>
        </w:rPr>
      </w:pPr>
      <w:r>
        <w:rPr>
          <w:rFonts w:ascii="Arial" w:hAnsi="Arial" w:cs="Arial"/>
          <w:color w:val="1F497D" w:themeColor="text2"/>
        </w:rPr>
        <w:t>E</w:t>
      </w:r>
      <w:r w:rsidR="00D22E22" w:rsidRPr="00D22E22">
        <w:rPr>
          <w:rFonts w:ascii="Arial" w:hAnsi="Arial" w:cs="Arial"/>
          <w:color w:val="1F497D" w:themeColor="text2"/>
        </w:rPr>
        <w:t xml:space="preserve">xplanation of how the investment firm has used any data or tools relating to the quality of execution, including any data published under Delegated Regulation (EU) </w:t>
      </w:r>
      <w:r w:rsidR="0063550C">
        <w:rPr>
          <w:rFonts w:ascii="Arial" w:hAnsi="Arial" w:cs="Arial"/>
          <w:color w:val="1F497D" w:themeColor="text2"/>
        </w:rPr>
        <w:t>2017/575</w:t>
      </w:r>
      <w:r w:rsidR="00C8652B">
        <w:rPr>
          <w:rFonts w:ascii="Arial" w:hAnsi="Arial" w:cs="Arial"/>
          <w:color w:val="1F497D" w:themeColor="text2"/>
        </w:rPr>
        <w:t>.</w:t>
      </w:r>
    </w:p>
    <w:p w14:paraId="08ADF13B" w14:textId="77777777" w:rsidR="00D22E22" w:rsidRPr="00D22E22" w:rsidRDefault="00D22E22" w:rsidP="00D22E22">
      <w:pPr>
        <w:pStyle w:val="Paragraphedeliste"/>
        <w:spacing w:after="0"/>
        <w:ind w:left="1080"/>
        <w:contextualSpacing w:val="0"/>
        <w:jc w:val="both"/>
        <w:rPr>
          <w:rFonts w:ascii="Arial" w:hAnsi="Arial" w:cs="Arial"/>
          <w:color w:val="1F497D" w:themeColor="text2"/>
        </w:rPr>
      </w:pPr>
    </w:p>
    <w:p w14:paraId="140C2314" w14:textId="4E11C823" w:rsidR="00E57EFA" w:rsidRDefault="007F522B" w:rsidP="007F522B">
      <w:pPr>
        <w:pStyle w:val="Paragraphedeliste"/>
        <w:spacing w:after="0"/>
        <w:ind w:left="0"/>
        <w:contextualSpacing w:val="0"/>
        <w:jc w:val="both"/>
        <w:rPr>
          <w:rFonts w:ascii="Arial" w:hAnsi="Arial" w:cs="Arial"/>
          <w:lang w:val="en-US"/>
        </w:rPr>
      </w:pPr>
      <w:r>
        <w:rPr>
          <w:rFonts w:ascii="Arial" w:hAnsi="Arial" w:cs="Arial"/>
          <w:lang w:val="en-US"/>
        </w:rPr>
        <w:t xml:space="preserve">Credit Agricole Corporate and Investment Bank </w:t>
      </w:r>
      <w:r w:rsidR="00371E00">
        <w:rPr>
          <w:rFonts w:ascii="Arial" w:hAnsi="Arial" w:cs="Arial"/>
          <w:lang w:val="en-US"/>
        </w:rPr>
        <w:t>did</w:t>
      </w:r>
      <w:r>
        <w:rPr>
          <w:rFonts w:ascii="Arial" w:hAnsi="Arial" w:cs="Arial"/>
          <w:lang w:val="en-US"/>
        </w:rPr>
        <w:t xml:space="preserve"> not </w:t>
      </w:r>
      <w:r w:rsidR="00371E00">
        <w:rPr>
          <w:rFonts w:ascii="Arial" w:hAnsi="Arial" w:cs="Arial"/>
          <w:lang w:val="en-US"/>
        </w:rPr>
        <w:t>collect</w:t>
      </w:r>
      <w:r w:rsidR="003504F2">
        <w:rPr>
          <w:rFonts w:ascii="Arial" w:hAnsi="Arial" w:cs="Arial"/>
          <w:lang w:val="en-US"/>
        </w:rPr>
        <w:t xml:space="preserve"> execution data nor </w:t>
      </w:r>
      <w:r w:rsidR="00FB17A0">
        <w:rPr>
          <w:rFonts w:ascii="Arial" w:hAnsi="Arial" w:cs="Arial"/>
          <w:lang w:val="en-US"/>
        </w:rPr>
        <w:t>use</w:t>
      </w:r>
      <w:r>
        <w:rPr>
          <w:rFonts w:ascii="Arial" w:hAnsi="Arial" w:cs="Arial"/>
          <w:lang w:val="en-US"/>
        </w:rPr>
        <w:t xml:space="preserve"> any specific tool or the services of a third party data provider to assess execution data</w:t>
      </w:r>
      <w:r w:rsidR="003504F2">
        <w:rPr>
          <w:rFonts w:ascii="Arial" w:hAnsi="Arial" w:cs="Arial"/>
          <w:lang w:val="en-US"/>
        </w:rPr>
        <w:t xml:space="preserve"> before</w:t>
      </w:r>
      <w:r>
        <w:rPr>
          <w:rFonts w:ascii="Arial" w:hAnsi="Arial" w:cs="Arial"/>
          <w:lang w:val="en-US"/>
        </w:rPr>
        <w:t xml:space="preserve"> </w:t>
      </w:r>
      <w:r w:rsidR="003504F2">
        <w:rPr>
          <w:rFonts w:ascii="Arial" w:hAnsi="Arial" w:cs="Arial"/>
          <w:lang w:val="en-US"/>
        </w:rPr>
        <w:t xml:space="preserve">delegated regulation (EU) 2017/575 came in force on 3 January 2018. </w:t>
      </w:r>
      <w:r w:rsidR="003504F2" w:rsidRPr="00F03EF7">
        <w:rPr>
          <w:rFonts w:ascii="Arial" w:hAnsi="Arial" w:cs="Arial"/>
          <w:lang w:val="en-US"/>
        </w:rPr>
        <w:t xml:space="preserve">The firm is </w:t>
      </w:r>
      <w:r w:rsidR="004E2D49" w:rsidRPr="00F03EF7">
        <w:rPr>
          <w:rFonts w:ascii="Arial" w:hAnsi="Arial" w:cs="Arial"/>
          <w:lang w:val="en-US"/>
        </w:rPr>
        <w:t xml:space="preserve">now </w:t>
      </w:r>
      <w:r w:rsidR="00B77AAF" w:rsidRPr="00F03EF7">
        <w:rPr>
          <w:rFonts w:ascii="Arial" w:hAnsi="Arial" w:cs="Arial"/>
          <w:lang w:val="en-US"/>
        </w:rPr>
        <w:t xml:space="preserve">reviewing </w:t>
      </w:r>
      <w:r w:rsidR="00A44B1A" w:rsidRPr="00F03EF7">
        <w:rPr>
          <w:rFonts w:ascii="Arial" w:hAnsi="Arial" w:cs="Arial"/>
          <w:lang w:val="en-US"/>
        </w:rPr>
        <w:t>this stance and a discussion is being initiated to study the possibilities and their feasibility</w:t>
      </w:r>
      <w:r w:rsidRPr="00F03EF7">
        <w:rPr>
          <w:rFonts w:ascii="Arial" w:hAnsi="Arial" w:cs="Arial"/>
          <w:lang w:val="en-US"/>
        </w:rPr>
        <w:t xml:space="preserve"> in this regard</w:t>
      </w:r>
      <w:r w:rsidR="003504F2" w:rsidRPr="00F03EF7">
        <w:rPr>
          <w:rFonts w:ascii="Arial" w:hAnsi="Arial" w:cs="Arial"/>
          <w:lang w:val="en-US"/>
        </w:rPr>
        <w:t>.</w:t>
      </w:r>
    </w:p>
    <w:p w14:paraId="30AA640C" w14:textId="77777777" w:rsidR="00726F8D" w:rsidRPr="00D22E22" w:rsidRDefault="00726F8D" w:rsidP="00D22E22">
      <w:pPr>
        <w:pStyle w:val="Paragraphedeliste"/>
        <w:spacing w:after="0"/>
        <w:ind w:left="1080"/>
        <w:contextualSpacing w:val="0"/>
        <w:jc w:val="both"/>
        <w:rPr>
          <w:rFonts w:ascii="Arial" w:hAnsi="Arial" w:cs="Arial"/>
          <w:color w:val="1F497D" w:themeColor="text2"/>
        </w:rPr>
      </w:pPr>
    </w:p>
    <w:p w14:paraId="13CCF987" w14:textId="77777777" w:rsidR="00D22E22" w:rsidRPr="00D22E22" w:rsidRDefault="008B7CCE" w:rsidP="00D22E22">
      <w:pPr>
        <w:pStyle w:val="Paragraphedeliste"/>
        <w:numPr>
          <w:ilvl w:val="0"/>
          <w:numId w:val="3"/>
        </w:numPr>
        <w:spacing w:after="0"/>
        <w:contextualSpacing w:val="0"/>
        <w:jc w:val="both"/>
        <w:rPr>
          <w:rFonts w:ascii="Arial" w:hAnsi="Arial" w:cs="Arial"/>
          <w:color w:val="1F497D" w:themeColor="text2"/>
        </w:rPr>
      </w:pPr>
      <w:r w:rsidRPr="00D22E22">
        <w:rPr>
          <w:rFonts w:ascii="Arial" w:hAnsi="Arial" w:cs="Arial"/>
          <w:color w:val="1F497D" w:themeColor="text2"/>
        </w:rPr>
        <w:t>Where</w:t>
      </w:r>
      <w:r w:rsidR="00D22E22" w:rsidRPr="00D22E22">
        <w:rPr>
          <w:rFonts w:ascii="Arial" w:hAnsi="Arial" w:cs="Arial"/>
          <w:color w:val="1F497D" w:themeColor="text2"/>
        </w:rPr>
        <w:t xml:space="preserve"> applicable, an explanation of how the investment firm has used output of a consolidated tape provider established under Article 65 of Directive 2014/65/EU.</w:t>
      </w:r>
    </w:p>
    <w:p w14:paraId="398D695D" w14:textId="77777777" w:rsidR="00E57EFA" w:rsidRDefault="00E57EFA" w:rsidP="004D085C">
      <w:pPr>
        <w:spacing w:after="0"/>
        <w:jc w:val="both"/>
        <w:rPr>
          <w:rFonts w:ascii="Arial" w:hAnsi="Arial" w:cs="Arial"/>
          <w:color w:val="000000"/>
        </w:rPr>
      </w:pPr>
    </w:p>
    <w:p w14:paraId="010FECE8" w14:textId="29DEADEC" w:rsidR="005001DD" w:rsidRPr="00D22E22" w:rsidRDefault="00BC2BBC" w:rsidP="00D22E22">
      <w:pPr>
        <w:jc w:val="both"/>
        <w:rPr>
          <w:rFonts w:ascii="Arial" w:hAnsi="Arial" w:cs="Arial"/>
        </w:rPr>
      </w:pPr>
      <w:proofErr w:type="spellStart"/>
      <w:r>
        <w:rPr>
          <w:rFonts w:ascii="Arial" w:hAnsi="Arial" w:cs="Arial"/>
          <w:lang w:val="en-US"/>
        </w:rPr>
        <w:t>Asof</w:t>
      </w:r>
      <w:proofErr w:type="spellEnd"/>
      <w:r>
        <w:rPr>
          <w:rFonts w:ascii="Arial" w:hAnsi="Arial" w:cs="Arial"/>
          <w:lang w:val="en-US"/>
        </w:rPr>
        <w:t xml:space="preserve"> today, </w:t>
      </w:r>
      <w:r w:rsidR="00F06631">
        <w:rPr>
          <w:rFonts w:ascii="Arial" w:hAnsi="Arial" w:cs="Arial"/>
          <w:lang w:val="en-US"/>
        </w:rPr>
        <w:t xml:space="preserve">Credit Agricole Corporate and Investment Bank </w:t>
      </w:r>
      <w:r w:rsidR="00F03EF7">
        <w:rPr>
          <w:rFonts w:ascii="Arial" w:hAnsi="Arial" w:cs="Arial"/>
          <w:lang w:val="en-US"/>
        </w:rPr>
        <w:t xml:space="preserve">is not relying on </w:t>
      </w:r>
      <w:r w:rsidR="00A33C28">
        <w:rPr>
          <w:rFonts w:ascii="Arial" w:hAnsi="Arial" w:cs="Arial"/>
          <w:lang w:val="en-US"/>
        </w:rPr>
        <w:t xml:space="preserve">any </w:t>
      </w:r>
      <w:r w:rsidR="00F03EF7">
        <w:rPr>
          <w:rFonts w:ascii="Arial" w:hAnsi="Arial" w:cs="Arial"/>
          <w:lang w:val="en-US"/>
        </w:rPr>
        <w:t>data from consolidated tape provider</w:t>
      </w:r>
      <w:r w:rsidR="0040270A">
        <w:rPr>
          <w:rFonts w:ascii="Arial" w:hAnsi="Arial" w:cs="Arial"/>
          <w:color w:val="000000"/>
        </w:rPr>
        <w:t>.</w:t>
      </w:r>
    </w:p>
    <w:sectPr w:rsidR="005001DD" w:rsidRPr="00D22E22">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F7CD38" w14:textId="77777777" w:rsidR="0067454B" w:rsidRDefault="0067454B" w:rsidP="00767339">
      <w:pPr>
        <w:spacing w:after="0" w:line="240" w:lineRule="auto"/>
      </w:pPr>
      <w:r>
        <w:separator/>
      </w:r>
    </w:p>
  </w:endnote>
  <w:endnote w:type="continuationSeparator" w:id="0">
    <w:p w14:paraId="149B1243" w14:textId="77777777" w:rsidR="0067454B" w:rsidRDefault="0067454B" w:rsidP="00767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Cambria"/>
    <w:charset w:val="00"/>
    <w:family w:val="auto"/>
    <w:pitch w:val="default"/>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1176420"/>
      <w:docPartObj>
        <w:docPartGallery w:val="Page Numbers (Bottom of Page)"/>
        <w:docPartUnique/>
      </w:docPartObj>
    </w:sdtPr>
    <w:sdtEndPr>
      <w:rPr>
        <w:sz w:val="18"/>
        <w:szCs w:val="18"/>
      </w:rPr>
    </w:sdtEndPr>
    <w:sdtContent>
      <w:p w14:paraId="364E1D03" w14:textId="4D1E4666" w:rsidR="006E7A4A" w:rsidRPr="006F026F" w:rsidRDefault="006E7A4A">
        <w:pPr>
          <w:pStyle w:val="Pieddepage"/>
          <w:jc w:val="right"/>
          <w:rPr>
            <w:sz w:val="18"/>
            <w:szCs w:val="18"/>
          </w:rPr>
        </w:pPr>
        <w:r w:rsidRPr="006F026F">
          <w:rPr>
            <w:sz w:val="18"/>
            <w:szCs w:val="18"/>
          </w:rPr>
          <w:fldChar w:fldCharType="begin"/>
        </w:r>
        <w:r w:rsidRPr="006F026F">
          <w:rPr>
            <w:sz w:val="18"/>
            <w:szCs w:val="18"/>
          </w:rPr>
          <w:instrText>PAGE   \* MERGEFORMAT</w:instrText>
        </w:r>
        <w:r w:rsidRPr="006F026F">
          <w:rPr>
            <w:sz w:val="18"/>
            <w:szCs w:val="18"/>
          </w:rPr>
          <w:fldChar w:fldCharType="separate"/>
        </w:r>
        <w:r w:rsidR="00A169DF" w:rsidRPr="00A169DF">
          <w:rPr>
            <w:noProof/>
            <w:sz w:val="18"/>
            <w:szCs w:val="18"/>
            <w:lang w:val="fr-FR"/>
          </w:rPr>
          <w:t>9</w:t>
        </w:r>
        <w:r w:rsidRPr="006F026F">
          <w:rPr>
            <w:sz w:val="18"/>
            <w:szCs w:val="18"/>
          </w:rPr>
          <w:fldChar w:fldCharType="end"/>
        </w:r>
      </w:p>
    </w:sdtContent>
  </w:sdt>
  <w:p w14:paraId="6DBBD0AE" w14:textId="77777777" w:rsidR="006E7A4A" w:rsidRDefault="006E7A4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82B4A" w14:textId="77777777" w:rsidR="0067454B" w:rsidRDefault="0067454B" w:rsidP="00767339">
      <w:pPr>
        <w:spacing w:after="0" w:line="240" w:lineRule="auto"/>
      </w:pPr>
      <w:r>
        <w:separator/>
      </w:r>
    </w:p>
  </w:footnote>
  <w:footnote w:type="continuationSeparator" w:id="0">
    <w:p w14:paraId="0678E881" w14:textId="77777777" w:rsidR="0067454B" w:rsidRDefault="0067454B" w:rsidP="007673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DCF58" w14:textId="77777777" w:rsidR="00767339" w:rsidRDefault="00767339">
    <w:pPr>
      <w:pStyle w:val="En-tte"/>
    </w:pPr>
    <w:r>
      <w:ptab w:relativeTo="margin" w:alignment="center" w:leader="none"/>
    </w:r>
    <w:r>
      <w:ptab w:relativeTo="margin" w:alignment="right" w:leader="none"/>
    </w:r>
    <w:r>
      <w:rPr>
        <w:noProof/>
        <w:lang w:val="fr-FR" w:eastAsia="ja-JP"/>
      </w:rPr>
      <w:drawing>
        <wp:inline distT="0" distB="0" distL="0" distR="0" wp14:anchorId="4E466B0E" wp14:editId="7E85D42B">
          <wp:extent cx="2419200" cy="266400"/>
          <wp:effectExtent l="0" t="0" r="635" b="635"/>
          <wp:docPr id="2" name="Picture 6" descr="logo.ep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8" descr="logo.eps"/>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200" cy="26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256D3"/>
    <w:multiLevelType w:val="hybridMultilevel"/>
    <w:tmpl w:val="2F3A3F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31706F"/>
    <w:multiLevelType w:val="hybridMultilevel"/>
    <w:tmpl w:val="761699AA"/>
    <w:lvl w:ilvl="0" w:tplc="27904250">
      <w:start w:val="1"/>
      <w:numFmt w:val="lowerLetter"/>
      <w:lvlText w:val="(%1)"/>
      <w:lvlJc w:val="left"/>
      <w:pPr>
        <w:ind w:left="1080" w:hanging="72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 w15:restartNumberingAfterBreak="0">
    <w:nsid w:val="12FC0BFF"/>
    <w:multiLevelType w:val="hybridMultilevel"/>
    <w:tmpl w:val="C624DD2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056DBA"/>
    <w:multiLevelType w:val="hybridMultilevel"/>
    <w:tmpl w:val="761699AA"/>
    <w:lvl w:ilvl="0" w:tplc="27904250">
      <w:start w:val="1"/>
      <w:numFmt w:val="lowerLetter"/>
      <w:lvlText w:val="(%1)"/>
      <w:lvlJc w:val="left"/>
      <w:pPr>
        <w:ind w:left="1080" w:hanging="72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4" w15:restartNumberingAfterBreak="0">
    <w:nsid w:val="1E5300FA"/>
    <w:multiLevelType w:val="hybridMultilevel"/>
    <w:tmpl w:val="306039E0"/>
    <w:lvl w:ilvl="0" w:tplc="F7BEBC30">
      <w:start w:val="1"/>
      <w:numFmt w:val="low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5" w15:restartNumberingAfterBreak="0">
    <w:nsid w:val="206160F6"/>
    <w:multiLevelType w:val="hybridMultilevel"/>
    <w:tmpl w:val="761699AA"/>
    <w:lvl w:ilvl="0" w:tplc="27904250">
      <w:start w:val="1"/>
      <w:numFmt w:val="lowerLetter"/>
      <w:lvlText w:val="(%1)"/>
      <w:lvlJc w:val="left"/>
      <w:pPr>
        <w:ind w:left="1080" w:hanging="72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6" w15:restartNumberingAfterBreak="0">
    <w:nsid w:val="23CA3150"/>
    <w:multiLevelType w:val="hybridMultilevel"/>
    <w:tmpl w:val="14705AC8"/>
    <w:lvl w:ilvl="0" w:tplc="283602D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336615F"/>
    <w:multiLevelType w:val="hybridMultilevel"/>
    <w:tmpl w:val="A5D2DE2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1CD0915"/>
    <w:multiLevelType w:val="hybridMultilevel"/>
    <w:tmpl w:val="1BCCDD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25518B"/>
    <w:multiLevelType w:val="hybridMultilevel"/>
    <w:tmpl w:val="C092572E"/>
    <w:lvl w:ilvl="0" w:tplc="3D14A74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3D658D"/>
    <w:multiLevelType w:val="hybridMultilevel"/>
    <w:tmpl w:val="47807684"/>
    <w:lvl w:ilvl="0" w:tplc="040C0005">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15:restartNumberingAfterBreak="0">
    <w:nsid w:val="48577F45"/>
    <w:multiLevelType w:val="hybridMultilevel"/>
    <w:tmpl w:val="A3A8F5B8"/>
    <w:lvl w:ilvl="0" w:tplc="1D34D860">
      <w:start w:val="1"/>
      <w:numFmt w:val="lowerLetter"/>
      <w:lvlText w:val="(%1)"/>
      <w:lvlJc w:val="left"/>
      <w:pPr>
        <w:ind w:left="720" w:hanging="720"/>
      </w:pPr>
      <w:rPr>
        <w:rFonts w:cs="Times New Roman"/>
        <w:color w:val="1F497D" w:themeColor="text2"/>
      </w:rPr>
    </w:lvl>
    <w:lvl w:ilvl="1" w:tplc="040C0019">
      <w:start w:val="1"/>
      <w:numFmt w:val="lowerLetter"/>
      <w:lvlText w:val="%2."/>
      <w:lvlJc w:val="left"/>
      <w:pPr>
        <w:ind w:left="1080" w:hanging="360"/>
      </w:pPr>
      <w:rPr>
        <w:rFonts w:cs="Times New Roman"/>
      </w:rPr>
    </w:lvl>
    <w:lvl w:ilvl="2" w:tplc="040C001B">
      <w:start w:val="1"/>
      <w:numFmt w:val="lowerRoman"/>
      <w:lvlText w:val="%3."/>
      <w:lvlJc w:val="right"/>
      <w:pPr>
        <w:ind w:left="1800" w:hanging="180"/>
      </w:pPr>
      <w:rPr>
        <w:rFonts w:cs="Times New Roman"/>
      </w:rPr>
    </w:lvl>
    <w:lvl w:ilvl="3" w:tplc="040C000F">
      <w:start w:val="1"/>
      <w:numFmt w:val="decimal"/>
      <w:lvlText w:val="%4."/>
      <w:lvlJc w:val="left"/>
      <w:pPr>
        <w:ind w:left="2520" w:hanging="360"/>
      </w:pPr>
      <w:rPr>
        <w:rFonts w:cs="Times New Roman"/>
      </w:rPr>
    </w:lvl>
    <w:lvl w:ilvl="4" w:tplc="040C0019">
      <w:start w:val="1"/>
      <w:numFmt w:val="lowerLetter"/>
      <w:lvlText w:val="%5."/>
      <w:lvlJc w:val="left"/>
      <w:pPr>
        <w:ind w:left="3240" w:hanging="360"/>
      </w:pPr>
      <w:rPr>
        <w:rFonts w:cs="Times New Roman"/>
      </w:rPr>
    </w:lvl>
    <w:lvl w:ilvl="5" w:tplc="040C001B">
      <w:start w:val="1"/>
      <w:numFmt w:val="lowerRoman"/>
      <w:lvlText w:val="%6."/>
      <w:lvlJc w:val="right"/>
      <w:pPr>
        <w:ind w:left="3960" w:hanging="180"/>
      </w:pPr>
      <w:rPr>
        <w:rFonts w:cs="Times New Roman"/>
      </w:rPr>
    </w:lvl>
    <w:lvl w:ilvl="6" w:tplc="040C000F">
      <w:start w:val="1"/>
      <w:numFmt w:val="decimal"/>
      <w:lvlText w:val="%7."/>
      <w:lvlJc w:val="left"/>
      <w:pPr>
        <w:ind w:left="4680" w:hanging="360"/>
      </w:pPr>
      <w:rPr>
        <w:rFonts w:cs="Times New Roman"/>
      </w:rPr>
    </w:lvl>
    <w:lvl w:ilvl="7" w:tplc="040C0019">
      <w:start w:val="1"/>
      <w:numFmt w:val="lowerLetter"/>
      <w:lvlText w:val="%8."/>
      <w:lvlJc w:val="left"/>
      <w:pPr>
        <w:ind w:left="5400" w:hanging="360"/>
      </w:pPr>
      <w:rPr>
        <w:rFonts w:cs="Times New Roman"/>
      </w:rPr>
    </w:lvl>
    <w:lvl w:ilvl="8" w:tplc="040C001B">
      <w:start w:val="1"/>
      <w:numFmt w:val="lowerRoman"/>
      <w:lvlText w:val="%9."/>
      <w:lvlJc w:val="right"/>
      <w:pPr>
        <w:ind w:left="6120" w:hanging="180"/>
      </w:pPr>
      <w:rPr>
        <w:rFonts w:cs="Times New Roman"/>
      </w:rPr>
    </w:lvl>
  </w:abstractNum>
  <w:abstractNum w:abstractNumId="12" w15:restartNumberingAfterBreak="0">
    <w:nsid w:val="49D2483F"/>
    <w:multiLevelType w:val="hybridMultilevel"/>
    <w:tmpl w:val="ABDA40C0"/>
    <w:lvl w:ilvl="0" w:tplc="BE6A8116">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DF60BDC"/>
    <w:multiLevelType w:val="hybridMultilevel"/>
    <w:tmpl w:val="761699AA"/>
    <w:lvl w:ilvl="0" w:tplc="27904250">
      <w:start w:val="1"/>
      <w:numFmt w:val="lowerLetter"/>
      <w:lvlText w:val="(%1)"/>
      <w:lvlJc w:val="left"/>
      <w:pPr>
        <w:ind w:left="1080" w:hanging="72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4" w15:restartNumberingAfterBreak="0">
    <w:nsid w:val="507C5EE7"/>
    <w:multiLevelType w:val="hybridMultilevel"/>
    <w:tmpl w:val="761699AA"/>
    <w:lvl w:ilvl="0" w:tplc="27904250">
      <w:start w:val="1"/>
      <w:numFmt w:val="lowerLetter"/>
      <w:lvlText w:val="(%1)"/>
      <w:lvlJc w:val="left"/>
      <w:pPr>
        <w:ind w:left="1080" w:hanging="72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5" w15:restartNumberingAfterBreak="0">
    <w:nsid w:val="54B26A63"/>
    <w:multiLevelType w:val="hybridMultilevel"/>
    <w:tmpl w:val="761699AA"/>
    <w:lvl w:ilvl="0" w:tplc="27904250">
      <w:start w:val="1"/>
      <w:numFmt w:val="lowerLetter"/>
      <w:lvlText w:val="(%1)"/>
      <w:lvlJc w:val="left"/>
      <w:pPr>
        <w:ind w:left="1080" w:hanging="72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6" w15:restartNumberingAfterBreak="0">
    <w:nsid w:val="612167B6"/>
    <w:multiLevelType w:val="hybridMultilevel"/>
    <w:tmpl w:val="7E5AC242"/>
    <w:lvl w:ilvl="0" w:tplc="F4AE4488">
      <w:start w:val="1"/>
      <w:numFmt w:val="upperRoman"/>
      <w:lvlText w:val="%1."/>
      <w:lvlJc w:val="left"/>
      <w:pPr>
        <w:ind w:left="1080" w:hanging="720"/>
      </w:pPr>
      <w:rPr>
        <w:rFonts w:asciiTheme="majorHAnsi" w:eastAsiaTheme="majorEastAsia" w:hAnsiTheme="majorHAnsi" w:cstheme="majorBidi" w:hint="default"/>
        <w:b/>
        <w:color w:val="365F91" w:themeColor="accent1" w:themeShade="BF"/>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3283AC5"/>
    <w:multiLevelType w:val="hybridMultilevel"/>
    <w:tmpl w:val="C624DD2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E485723"/>
    <w:multiLevelType w:val="hybridMultilevel"/>
    <w:tmpl w:val="761699AA"/>
    <w:lvl w:ilvl="0" w:tplc="27904250">
      <w:start w:val="1"/>
      <w:numFmt w:val="lowerLetter"/>
      <w:lvlText w:val="(%1)"/>
      <w:lvlJc w:val="left"/>
      <w:pPr>
        <w:ind w:left="1080" w:hanging="72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num w:numId="1">
    <w:abstractNumId w:val="9"/>
  </w:num>
  <w:num w:numId="2">
    <w:abstractNumId w:val="6"/>
  </w:num>
  <w:num w:numId="3">
    <w:abstractNumId w:val="11"/>
  </w:num>
  <w:num w:numId="4">
    <w:abstractNumId w:val="11"/>
  </w:num>
  <w:num w:numId="5">
    <w:abstractNumId w:val="3"/>
  </w:num>
  <w:num w:numId="6">
    <w:abstractNumId w:val="13"/>
  </w:num>
  <w:num w:numId="7">
    <w:abstractNumId w:val="8"/>
  </w:num>
  <w:num w:numId="8">
    <w:abstractNumId w:val="14"/>
  </w:num>
  <w:num w:numId="9">
    <w:abstractNumId w:val="5"/>
  </w:num>
  <w:num w:numId="10">
    <w:abstractNumId w:val="1"/>
  </w:num>
  <w:num w:numId="11">
    <w:abstractNumId w:val="18"/>
  </w:num>
  <w:num w:numId="12">
    <w:abstractNumId w:val="15"/>
  </w:num>
  <w:num w:numId="13">
    <w:abstractNumId w:val="10"/>
  </w:num>
  <w:num w:numId="14">
    <w:abstractNumId w:val="4"/>
  </w:num>
  <w:num w:numId="15">
    <w:abstractNumId w:val="0"/>
  </w:num>
  <w:num w:numId="16">
    <w:abstractNumId w:val="12"/>
  </w:num>
  <w:num w:numId="17">
    <w:abstractNumId w:val="2"/>
  </w:num>
  <w:num w:numId="18">
    <w:abstractNumId w:val="7"/>
  </w:num>
  <w:num w:numId="19">
    <w:abstractNumId w:val="17"/>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1DD"/>
    <w:rsid w:val="00000F20"/>
    <w:rsid w:val="00006B90"/>
    <w:rsid w:val="00033CAC"/>
    <w:rsid w:val="00047B86"/>
    <w:rsid w:val="00054050"/>
    <w:rsid w:val="000640FC"/>
    <w:rsid w:val="00064C0C"/>
    <w:rsid w:val="00076D9E"/>
    <w:rsid w:val="000820BD"/>
    <w:rsid w:val="000A53B7"/>
    <w:rsid w:val="000B52C1"/>
    <w:rsid w:val="000B6271"/>
    <w:rsid w:val="000D4FBB"/>
    <w:rsid w:val="000E0EB0"/>
    <w:rsid w:val="000E3894"/>
    <w:rsid w:val="000F4B5A"/>
    <w:rsid w:val="0011184C"/>
    <w:rsid w:val="00111A67"/>
    <w:rsid w:val="00112A70"/>
    <w:rsid w:val="001547CD"/>
    <w:rsid w:val="00164A18"/>
    <w:rsid w:val="0016558A"/>
    <w:rsid w:val="00172D38"/>
    <w:rsid w:val="00177227"/>
    <w:rsid w:val="00177613"/>
    <w:rsid w:val="00196B52"/>
    <w:rsid w:val="001A6981"/>
    <w:rsid w:val="001D3FCA"/>
    <w:rsid w:val="001E4C9A"/>
    <w:rsid w:val="00204806"/>
    <w:rsid w:val="00223186"/>
    <w:rsid w:val="0023143D"/>
    <w:rsid w:val="00235749"/>
    <w:rsid w:val="0023588A"/>
    <w:rsid w:val="002427F9"/>
    <w:rsid w:val="002628D9"/>
    <w:rsid w:val="00272319"/>
    <w:rsid w:val="002747F4"/>
    <w:rsid w:val="00287FEA"/>
    <w:rsid w:val="002A3273"/>
    <w:rsid w:val="002B7D9F"/>
    <w:rsid w:val="002C3D09"/>
    <w:rsid w:val="002D5550"/>
    <w:rsid w:val="002E2D02"/>
    <w:rsid w:val="002E7752"/>
    <w:rsid w:val="002F74E6"/>
    <w:rsid w:val="00303C8C"/>
    <w:rsid w:val="003108B4"/>
    <w:rsid w:val="00321F4B"/>
    <w:rsid w:val="00326CFB"/>
    <w:rsid w:val="00330F8D"/>
    <w:rsid w:val="00334130"/>
    <w:rsid w:val="00334240"/>
    <w:rsid w:val="003504F2"/>
    <w:rsid w:val="00351522"/>
    <w:rsid w:val="00356B30"/>
    <w:rsid w:val="00363CF9"/>
    <w:rsid w:val="00367396"/>
    <w:rsid w:val="00371E00"/>
    <w:rsid w:val="00376FE6"/>
    <w:rsid w:val="003844B1"/>
    <w:rsid w:val="003A7639"/>
    <w:rsid w:val="003C47EA"/>
    <w:rsid w:val="003C678B"/>
    <w:rsid w:val="003D38A4"/>
    <w:rsid w:val="003E0BAE"/>
    <w:rsid w:val="003F2551"/>
    <w:rsid w:val="003F462C"/>
    <w:rsid w:val="0040270A"/>
    <w:rsid w:val="0040338E"/>
    <w:rsid w:val="00433739"/>
    <w:rsid w:val="0043378C"/>
    <w:rsid w:val="00440AFF"/>
    <w:rsid w:val="00444056"/>
    <w:rsid w:val="00470A44"/>
    <w:rsid w:val="00475252"/>
    <w:rsid w:val="00475CD6"/>
    <w:rsid w:val="004A1552"/>
    <w:rsid w:val="004A7523"/>
    <w:rsid w:val="004B4F7B"/>
    <w:rsid w:val="004D085C"/>
    <w:rsid w:val="004D58EC"/>
    <w:rsid w:val="004D72F6"/>
    <w:rsid w:val="004E15A9"/>
    <w:rsid w:val="004E2D49"/>
    <w:rsid w:val="005001DD"/>
    <w:rsid w:val="00510D25"/>
    <w:rsid w:val="00515ACD"/>
    <w:rsid w:val="00516EC6"/>
    <w:rsid w:val="005304C2"/>
    <w:rsid w:val="00532959"/>
    <w:rsid w:val="00535AC8"/>
    <w:rsid w:val="00543C64"/>
    <w:rsid w:val="00550177"/>
    <w:rsid w:val="005524C2"/>
    <w:rsid w:val="005656E1"/>
    <w:rsid w:val="00575B23"/>
    <w:rsid w:val="0059173E"/>
    <w:rsid w:val="005944B3"/>
    <w:rsid w:val="00596EF1"/>
    <w:rsid w:val="005C0871"/>
    <w:rsid w:val="005E0455"/>
    <w:rsid w:val="0062481E"/>
    <w:rsid w:val="00630704"/>
    <w:rsid w:val="00630E3C"/>
    <w:rsid w:val="00632BDD"/>
    <w:rsid w:val="0063550C"/>
    <w:rsid w:val="00636DC4"/>
    <w:rsid w:val="006374A4"/>
    <w:rsid w:val="00644077"/>
    <w:rsid w:val="00654F1B"/>
    <w:rsid w:val="006657B4"/>
    <w:rsid w:val="00673C38"/>
    <w:rsid w:val="0067454B"/>
    <w:rsid w:val="00680D1A"/>
    <w:rsid w:val="0069038F"/>
    <w:rsid w:val="00692A8E"/>
    <w:rsid w:val="00695C40"/>
    <w:rsid w:val="006A0280"/>
    <w:rsid w:val="006A2B32"/>
    <w:rsid w:val="006A4877"/>
    <w:rsid w:val="006D0849"/>
    <w:rsid w:val="006E0AF6"/>
    <w:rsid w:val="006E7A4A"/>
    <w:rsid w:val="006F026F"/>
    <w:rsid w:val="00706BDC"/>
    <w:rsid w:val="00726F8D"/>
    <w:rsid w:val="007342D4"/>
    <w:rsid w:val="0073493E"/>
    <w:rsid w:val="00742B12"/>
    <w:rsid w:val="00751445"/>
    <w:rsid w:val="00767339"/>
    <w:rsid w:val="00767A8E"/>
    <w:rsid w:val="00781861"/>
    <w:rsid w:val="00787620"/>
    <w:rsid w:val="00795C6B"/>
    <w:rsid w:val="007A7726"/>
    <w:rsid w:val="007C7210"/>
    <w:rsid w:val="007D0329"/>
    <w:rsid w:val="007F522B"/>
    <w:rsid w:val="007F5FDC"/>
    <w:rsid w:val="008100FC"/>
    <w:rsid w:val="00822F17"/>
    <w:rsid w:val="00825A7E"/>
    <w:rsid w:val="008605B0"/>
    <w:rsid w:val="008773BD"/>
    <w:rsid w:val="008A206A"/>
    <w:rsid w:val="008A3291"/>
    <w:rsid w:val="008A420F"/>
    <w:rsid w:val="008B5335"/>
    <w:rsid w:val="008B5E00"/>
    <w:rsid w:val="008B611C"/>
    <w:rsid w:val="008B7CCE"/>
    <w:rsid w:val="008C3800"/>
    <w:rsid w:val="008D530A"/>
    <w:rsid w:val="008F360A"/>
    <w:rsid w:val="008F4C16"/>
    <w:rsid w:val="008F6EB8"/>
    <w:rsid w:val="008F78FD"/>
    <w:rsid w:val="00900EFA"/>
    <w:rsid w:val="00902701"/>
    <w:rsid w:val="00907BF9"/>
    <w:rsid w:val="00912225"/>
    <w:rsid w:val="00913455"/>
    <w:rsid w:val="0091394E"/>
    <w:rsid w:val="00916DC0"/>
    <w:rsid w:val="0093092D"/>
    <w:rsid w:val="009341D6"/>
    <w:rsid w:val="009345B0"/>
    <w:rsid w:val="0094345F"/>
    <w:rsid w:val="0094613C"/>
    <w:rsid w:val="0094795F"/>
    <w:rsid w:val="00955790"/>
    <w:rsid w:val="00965488"/>
    <w:rsid w:val="00974792"/>
    <w:rsid w:val="00997DFE"/>
    <w:rsid w:val="009A0D32"/>
    <w:rsid w:val="009C0A77"/>
    <w:rsid w:val="009D5BDE"/>
    <w:rsid w:val="009D5F27"/>
    <w:rsid w:val="009E6B5C"/>
    <w:rsid w:val="009F5B90"/>
    <w:rsid w:val="009F64EC"/>
    <w:rsid w:val="00A00EB7"/>
    <w:rsid w:val="00A169DF"/>
    <w:rsid w:val="00A33C28"/>
    <w:rsid w:val="00A34DF4"/>
    <w:rsid w:val="00A36FB6"/>
    <w:rsid w:val="00A370F5"/>
    <w:rsid w:val="00A4314C"/>
    <w:rsid w:val="00A44B1A"/>
    <w:rsid w:val="00A47D74"/>
    <w:rsid w:val="00A536C5"/>
    <w:rsid w:val="00A61CA7"/>
    <w:rsid w:val="00A7246F"/>
    <w:rsid w:val="00A83BB8"/>
    <w:rsid w:val="00AB633B"/>
    <w:rsid w:val="00AC1865"/>
    <w:rsid w:val="00AC5438"/>
    <w:rsid w:val="00AD0626"/>
    <w:rsid w:val="00AD38EC"/>
    <w:rsid w:val="00AE5EF2"/>
    <w:rsid w:val="00AF7DEE"/>
    <w:rsid w:val="00B00CB6"/>
    <w:rsid w:val="00B07E50"/>
    <w:rsid w:val="00B20214"/>
    <w:rsid w:val="00B23E1F"/>
    <w:rsid w:val="00B3471A"/>
    <w:rsid w:val="00B419F4"/>
    <w:rsid w:val="00B41B29"/>
    <w:rsid w:val="00B468A4"/>
    <w:rsid w:val="00B50098"/>
    <w:rsid w:val="00B5114C"/>
    <w:rsid w:val="00B63F25"/>
    <w:rsid w:val="00B71F19"/>
    <w:rsid w:val="00B75A2E"/>
    <w:rsid w:val="00B77AAF"/>
    <w:rsid w:val="00B91FE8"/>
    <w:rsid w:val="00B96D8B"/>
    <w:rsid w:val="00BC2BBC"/>
    <w:rsid w:val="00BD59B4"/>
    <w:rsid w:val="00BF6104"/>
    <w:rsid w:val="00C00492"/>
    <w:rsid w:val="00C147CC"/>
    <w:rsid w:val="00C172A2"/>
    <w:rsid w:val="00C2153B"/>
    <w:rsid w:val="00C35743"/>
    <w:rsid w:val="00C55555"/>
    <w:rsid w:val="00C557C5"/>
    <w:rsid w:val="00C7642F"/>
    <w:rsid w:val="00C76F92"/>
    <w:rsid w:val="00C81951"/>
    <w:rsid w:val="00C84E05"/>
    <w:rsid w:val="00C8652B"/>
    <w:rsid w:val="00C93ECC"/>
    <w:rsid w:val="00CA7072"/>
    <w:rsid w:val="00CB024C"/>
    <w:rsid w:val="00CB4295"/>
    <w:rsid w:val="00CE01C6"/>
    <w:rsid w:val="00D21B88"/>
    <w:rsid w:val="00D22E22"/>
    <w:rsid w:val="00D305EE"/>
    <w:rsid w:val="00D4305D"/>
    <w:rsid w:val="00D67845"/>
    <w:rsid w:val="00D759E4"/>
    <w:rsid w:val="00D96241"/>
    <w:rsid w:val="00DA30C6"/>
    <w:rsid w:val="00DF20EE"/>
    <w:rsid w:val="00E04DC2"/>
    <w:rsid w:val="00E17C95"/>
    <w:rsid w:val="00E2731D"/>
    <w:rsid w:val="00E31F5C"/>
    <w:rsid w:val="00E321E4"/>
    <w:rsid w:val="00E3611F"/>
    <w:rsid w:val="00E57EFA"/>
    <w:rsid w:val="00E62CBD"/>
    <w:rsid w:val="00E775F0"/>
    <w:rsid w:val="00E94542"/>
    <w:rsid w:val="00EB5A72"/>
    <w:rsid w:val="00EC677B"/>
    <w:rsid w:val="00ED46E3"/>
    <w:rsid w:val="00EE423E"/>
    <w:rsid w:val="00EE76D2"/>
    <w:rsid w:val="00EF3C3B"/>
    <w:rsid w:val="00F03EF7"/>
    <w:rsid w:val="00F06631"/>
    <w:rsid w:val="00F235FE"/>
    <w:rsid w:val="00F27103"/>
    <w:rsid w:val="00F36363"/>
    <w:rsid w:val="00F4202B"/>
    <w:rsid w:val="00F825C9"/>
    <w:rsid w:val="00F92287"/>
    <w:rsid w:val="00FB17A0"/>
    <w:rsid w:val="00FB5D48"/>
    <w:rsid w:val="00FC2EF7"/>
    <w:rsid w:val="00FC3B9D"/>
    <w:rsid w:val="00FF4D1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25B38"/>
  <w15:docId w15:val="{517C6A2D-AEAA-491E-A7D6-F0E3C0806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F363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001DD"/>
    <w:pPr>
      <w:ind w:left="720"/>
      <w:contextualSpacing/>
    </w:pPr>
  </w:style>
  <w:style w:type="paragraph" w:customStyle="1" w:styleId="Default">
    <w:name w:val="Default"/>
    <w:rsid w:val="005001DD"/>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5001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001DD"/>
    <w:rPr>
      <w:rFonts w:ascii="Tahoma" w:hAnsi="Tahoma" w:cs="Tahoma"/>
      <w:sz w:val="16"/>
      <w:szCs w:val="16"/>
    </w:rPr>
  </w:style>
  <w:style w:type="paragraph" w:styleId="En-tte">
    <w:name w:val="header"/>
    <w:basedOn w:val="Normal"/>
    <w:link w:val="En-tteCar"/>
    <w:uiPriority w:val="99"/>
    <w:unhideWhenUsed/>
    <w:rsid w:val="00767339"/>
    <w:pPr>
      <w:tabs>
        <w:tab w:val="center" w:pos="4513"/>
        <w:tab w:val="right" w:pos="9026"/>
      </w:tabs>
      <w:spacing w:before="120" w:after="0" w:line="240" w:lineRule="auto"/>
    </w:pPr>
    <w:rPr>
      <w:sz w:val="20"/>
    </w:rPr>
  </w:style>
  <w:style w:type="character" w:customStyle="1" w:styleId="En-tteCar">
    <w:name w:val="En-tête Car"/>
    <w:basedOn w:val="Policepardfaut"/>
    <w:link w:val="En-tte"/>
    <w:uiPriority w:val="99"/>
    <w:rsid w:val="00767339"/>
    <w:rPr>
      <w:sz w:val="20"/>
    </w:rPr>
  </w:style>
  <w:style w:type="paragraph" w:styleId="Pieddepage">
    <w:name w:val="footer"/>
    <w:basedOn w:val="Normal"/>
    <w:link w:val="PieddepageCar"/>
    <w:uiPriority w:val="99"/>
    <w:unhideWhenUsed/>
    <w:rsid w:val="0076733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67339"/>
  </w:style>
  <w:style w:type="paragraph" w:styleId="Notedefin">
    <w:name w:val="endnote text"/>
    <w:basedOn w:val="Normal"/>
    <w:link w:val="NotedefinCar"/>
    <w:uiPriority w:val="99"/>
    <w:semiHidden/>
    <w:unhideWhenUsed/>
    <w:rsid w:val="00767339"/>
    <w:pPr>
      <w:spacing w:after="0" w:line="240" w:lineRule="auto"/>
    </w:pPr>
    <w:rPr>
      <w:sz w:val="20"/>
      <w:szCs w:val="20"/>
    </w:rPr>
  </w:style>
  <w:style w:type="character" w:customStyle="1" w:styleId="NotedefinCar">
    <w:name w:val="Note de fin Car"/>
    <w:basedOn w:val="Policepardfaut"/>
    <w:link w:val="Notedefin"/>
    <w:uiPriority w:val="99"/>
    <w:semiHidden/>
    <w:rsid w:val="00767339"/>
    <w:rPr>
      <w:sz w:val="20"/>
      <w:szCs w:val="20"/>
    </w:rPr>
  </w:style>
  <w:style w:type="character" w:styleId="Appeldenotedefin">
    <w:name w:val="endnote reference"/>
    <w:basedOn w:val="Policepardfaut"/>
    <w:uiPriority w:val="99"/>
    <w:semiHidden/>
    <w:unhideWhenUsed/>
    <w:rsid w:val="00767339"/>
    <w:rPr>
      <w:vertAlign w:val="superscript"/>
    </w:rPr>
  </w:style>
  <w:style w:type="paragraph" w:styleId="Notedebasdepage">
    <w:name w:val="footnote text"/>
    <w:basedOn w:val="Normal"/>
    <w:link w:val="NotedebasdepageCar"/>
    <w:uiPriority w:val="99"/>
    <w:semiHidden/>
    <w:unhideWhenUsed/>
    <w:rsid w:val="0076733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67339"/>
    <w:rPr>
      <w:sz w:val="20"/>
      <w:szCs w:val="20"/>
    </w:rPr>
  </w:style>
  <w:style w:type="character" w:styleId="Appelnotedebasdep">
    <w:name w:val="footnote reference"/>
    <w:basedOn w:val="Policepardfaut"/>
    <w:uiPriority w:val="99"/>
    <w:semiHidden/>
    <w:unhideWhenUsed/>
    <w:rsid w:val="00767339"/>
    <w:rPr>
      <w:vertAlign w:val="superscript"/>
    </w:rPr>
  </w:style>
  <w:style w:type="character" w:styleId="Lienhypertexte">
    <w:name w:val="Hyperlink"/>
    <w:basedOn w:val="Policepardfaut"/>
    <w:uiPriority w:val="99"/>
    <w:unhideWhenUsed/>
    <w:rsid w:val="00767339"/>
    <w:rPr>
      <w:color w:val="0000FF" w:themeColor="hyperlink"/>
      <w:u w:val="single"/>
    </w:rPr>
  </w:style>
  <w:style w:type="character" w:styleId="Marquedecommentaire">
    <w:name w:val="annotation reference"/>
    <w:basedOn w:val="Policepardfaut"/>
    <w:uiPriority w:val="99"/>
    <w:semiHidden/>
    <w:unhideWhenUsed/>
    <w:rsid w:val="0023588A"/>
    <w:rPr>
      <w:sz w:val="16"/>
      <w:szCs w:val="16"/>
    </w:rPr>
  </w:style>
  <w:style w:type="paragraph" w:styleId="Commentaire">
    <w:name w:val="annotation text"/>
    <w:basedOn w:val="Normal"/>
    <w:link w:val="CommentaireCar"/>
    <w:uiPriority w:val="99"/>
    <w:semiHidden/>
    <w:unhideWhenUsed/>
    <w:rsid w:val="0023588A"/>
    <w:pPr>
      <w:spacing w:line="240" w:lineRule="auto"/>
    </w:pPr>
    <w:rPr>
      <w:sz w:val="20"/>
      <w:szCs w:val="20"/>
    </w:rPr>
  </w:style>
  <w:style w:type="character" w:customStyle="1" w:styleId="CommentaireCar">
    <w:name w:val="Commentaire Car"/>
    <w:basedOn w:val="Policepardfaut"/>
    <w:link w:val="Commentaire"/>
    <w:uiPriority w:val="99"/>
    <w:semiHidden/>
    <w:rsid w:val="0023588A"/>
    <w:rPr>
      <w:sz w:val="20"/>
      <w:szCs w:val="20"/>
    </w:rPr>
  </w:style>
  <w:style w:type="paragraph" w:styleId="Objetducommentaire">
    <w:name w:val="annotation subject"/>
    <w:basedOn w:val="Commentaire"/>
    <w:next w:val="Commentaire"/>
    <w:link w:val="ObjetducommentaireCar"/>
    <w:uiPriority w:val="99"/>
    <w:semiHidden/>
    <w:unhideWhenUsed/>
    <w:rsid w:val="0023588A"/>
    <w:rPr>
      <w:b/>
      <w:bCs/>
    </w:rPr>
  </w:style>
  <w:style w:type="character" w:customStyle="1" w:styleId="ObjetducommentaireCar">
    <w:name w:val="Objet du commentaire Car"/>
    <w:basedOn w:val="CommentaireCar"/>
    <w:link w:val="Objetducommentaire"/>
    <w:uiPriority w:val="99"/>
    <w:semiHidden/>
    <w:rsid w:val="0023588A"/>
    <w:rPr>
      <w:b/>
      <w:bCs/>
      <w:sz w:val="20"/>
      <w:szCs w:val="20"/>
    </w:rPr>
  </w:style>
  <w:style w:type="paragraph" w:styleId="Rvision">
    <w:name w:val="Revision"/>
    <w:hidden/>
    <w:uiPriority w:val="99"/>
    <w:semiHidden/>
    <w:rsid w:val="0023588A"/>
    <w:pPr>
      <w:spacing w:after="0" w:line="240" w:lineRule="auto"/>
    </w:pPr>
  </w:style>
  <w:style w:type="paragraph" w:customStyle="1" w:styleId="CM1">
    <w:name w:val="CM1"/>
    <w:basedOn w:val="Default"/>
    <w:next w:val="Default"/>
    <w:uiPriority w:val="99"/>
    <w:rsid w:val="00235749"/>
    <w:rPr>
      <w:rFonts w:ascii="EUAlbertina" w:hAnsi="EUAlbertina" w:cstheme="minorBidi"/>
      <w:color w:val="auto"/>
      <w:lang w:val="fr-FR"/>
    </w:rPr>
  </w:style>
  <w:style w:type="paragraph" w:customStyle="1" w:styleId="CM3">
    <w:name w:val="CM3"/>
    <w:basedOn w:val="Default"/>
    <w:next w:val="Default"/>
    <w:uiPriority w:val="99"/>
    <w:rsid w:val="00235749"/>
    <w:rPr>
      <w:rFonts w:ascii="EUAlbertina" w:hAnsi="EUAlbertina" w:cstheme="minorBidi"/>
      <w:color w:val="auto"/>
      <w:lang w:val="fr-FR"/>
    </w:rPr>
  </w:style>
  <w:style w:type="character" w:styleId="Lienhypertextesuivivisit">
    <w:name w:val="FollowedHyperlink"/>
    <w:basedOn w:val="Policepardfaut"/>
    <w:uiPriority w:val="99"/>
    <w:semiHidden/>
    <w:unhideWhenUsed/>
    <w:rsid w:val="00AE5EF2"/>
    <w:rPr>
      <w:color w:val="800080" w:themeColor="followedHyperlink"/>
      <w:u w:val="single"/>
    </w:rPr>
  </w:style>
  <w:style w:type="character" w:customStyle="1" w:styleId="Titre1Car">
    <w:name w:val="Titre 1 Car"/>
    <w:basedOn w:val="Policepardfaut"/>
    <w:link w:val="Titre1"/>
    <w:uiPriority w:val="9"/>
    <w:rsid w:val="00F36363"/>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F36363"/>
    <w:pPr>
      <w:outlineLvl w:val="9"/>
    </w:pPr>
    <w:rPr>
      <w:lang w:val="en-US" w:eastAsia="ja-JP"/>
    </w:rPr>
  </w:style>
  <w:style w:type="paragraph" w:styleId="TM2">
    <w:name w:val="toc 2"/>
    <w:basedOn w:val="Normal"/>
    <w:next w:val="Normal"/>
    <w:autoRedefine/>
    <w:uiPriority w:val="39"/>
    <w:semiHidden/>
    <w:unhideWhenUsed/>
    <w:qFormat/>
    <w:rsid w:val="00F36363"/>
    <w:pPr>
      <w:spacing w:after="100"/>
      <w:ind w:left="220"/>
    </w:pPr>
    <w:rPr>
      <w:rFonts w:eastAsiaTheme="minorEastAsia"/>
      <w:lang w:val="en-US" w:eastAsia="ja-JP"/>
    </w:rPr>
  </w:style>
  <w:style w:type="paragraph" w:styleId="TM1">
    <w:name w:val="toc 1"/>
    <w:basedOn w:val="Normal"/>
    <w:next w:val="Normal"/>
    <w:autoRedefine/>
    <w:uiPriority w:val="39"/>
    <w:unhideWhenUsed/>
    <w:qFormat/>
    <w:rsid w:val="00F36363"/>
    <w:pPr>
      <w:spacing w:after="100"/>
    </w:pPr>
    <w:rPr>
      <w:rFonts w:eastAsiaTheme="minorEastAsia"/>
      <w:lang w:val="en-US" w:eastAsia="ja-JP"/>
    </w:rPr>
  </w:style>
  <w:style w:type="paragraph" w:styleId="TM3">
    <w:name w:val="toc 3"/>
    <w:basedOn w:val="Normal"/>
    <w:next w:val="Normal"/>
    <w:autoRedefine/>
    <w:uiPriority w:val="39"/>
    <w:semiHidden/>
    <w:unhideWhenUsed/>
    <w:qFormat/>
    <w:rsid w:val="00F36363"/>
    <w:pPr>
      <w:spacing w:after="100"/>
      <w:ind w:left="440"/>
    </w:pPr>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750919">
      <w:bodyDiv w:val="1"/>
      <w:marLeft w:val="0"/>
      <w:marRight w:val="0"/>
      <w:marTop w:val="0"/>
      <w:marBottom w:val="0"/>
      <w:divBdr>
        <w:top w:val="none" w:sz="0" w:space="0" w:color="auto"/>
        <w:left w:val="none" w:sz="0" w:space="0" w:color="auto"/>
        <w:bottom w:val="none" w:sz="0" w:space="0" w:color="auto"/>
        <w:right w:val="none" w:sz="0" w:space="0" w:color="auto"/>
      </w:divBdr>
    </w:div>
    <w:div w:id="457997326">
      <w:bodyDiv w:val="1"/>
      <w:marLeft w:val="0"/>
      <w:marRight w:val="0"/>
      <w:marTop w:val="0"/>
      <w:marBottom w:val="0"/>
      <w:divBdr>
        <w:top w:val="none" w:sz="0" w:space="0" w:color="auto"/>
        <w:left w:val="none" w:sz="0" w:space="0" w:color="auto"/>
        <w:bottom w:val="none" w:sz="0" w:space="0" w:color="auto"/>
        <w:right w:val="none" w:sz="0" w:space="0" w:color="auto"/>
      </w:divBdr>
    </w:div>
    <w:div w:id="573395654">
      <w:bodyDiv w:val="1"/>
      <w:marLeft w:val="0"/>
      <w:marRight w:val="0"/>
      <w:marTop w:val="0"/>
      <w:marBottom w:val="0"/>
      <w:divBdr>
        <w:top w:val="none" w:sz="0" w:space="0" w:color="auto"/>
        <w:left w:val="none" w:sz="0" w:space="0" w:color="auto"/>
        <w:bottom w:val="none" w:sz="0" w:space="0" w:color="auto"/>
        <w:right w:val="none" w:sz="0" w:space="0" w:color="auto"/>
      </w:divBdr>
    </w:div>
    <w:div w:id="637222098">
      <w:bodyDiv w:val="1"/>
      <w:marLeft w:val="0"/>
      <w:marRight w:val="0"/>
      <w:marTop w:val="0"/>
      <w:marBottom w:val="0"/>
      <w:divBdr>
        <w:top w:val="none" w:sz="0" w:space="0" w:color="auto"/>
        <w:left w:val="none" w:sz="0" w:space="0" w:color="auto"/>
        <w:bottom w:val="none" w:sz="0" w:space="0" w:color="auto"/>
        <w:right w:val="none" w:sz="0" w:space="0" w:color="auto"/>
      </w:divBdr>
    </w:div>
    <w:div w:id="641664839">
      <w:bodyDiv w:val="1"/>
      <w:marLeft w:val="0"/>
      <w:marRight w:val="0"/>
      <w:marTop w:val="0"/>
      <w:marBottom w:val="0"/>
      <w:divBdr>
        <w:top w:val="none" w:sz="0" w:space="0" w:color="auto"/>
        <w:left w:val="none" w:sz="0" w:space="0" w:color="auto"/>
        <w:bottom w:val="none" w:sz="0" w:space="0" w:color="auto"/>
        <w:right w:val="none" w:sz="0" w:space="0" w:color="auto"/>
      </w:divBdr>
    </w:div>
    <w:div w:id="792333574">
      <w:bodyDiv w:val="1"/>
      <w:marLeft w:val="0"/>
      <w:marRight w:val="0"/>
      <w:marTop w:val="0"/>
      <w:marBottom w:val="0"/>
      <w:divBdr>
        <w:top w:val="none" w:sz="0" w:space="0" w:color="auto"/>
        <w:left w:val="none" w:sz="0" w:space="0" w:color="auto"/>
        <w:bottom w:val="none" w:sz="0" w:space="0" w:color="auto"/>
        <w:right w:val="none" w:sz="0" w:space="0" w:color="auto"/>
      </w:divBdr>
    </w:div>
    <w:div w:id="881788877">
      <w:bodyDiv w:val="1"/>
      <w:marLeft w:val="0"/>
      <w:marRight w:val="0"/>
      <w:marTop w:val="0"/>
      <w:marBottom w:val="0"/>
      <w:divBdr>
        <w:top w:val="none" w:sz="0" w:space="0" w:color="auto"/>
        <w:left w:val="none" w:sz="0" w:space="0" w:color="auto"/>
        <w:bottom w:val="none" w:sz="0" w:space="0" w:color="auto"/>
        <w:right w:val="none" w:sz="0" w:space="0" w:color="auto"/>
      </w:divBdr>
    </w:div>
    <w:div w:id="1063213960">
      <w:bodyDiv w:val="1"/>
      <w:marLeft w:val="0"/>
      <w:marRight w:val="0"/>
      <w:marTop w:val="0"/>
      <w:marBottom w:val="0"/>
      <w:divBdr>
        <w:top w:val="none" w:sz="0" w:space="0" w:color="auto"/>
        <w:left w:val="none" w:sz="0" w:space="0" w:color="auto"/>
        <w:bottom w:val="none" w:sz="0" w:space="0" w:color="auto"/>
        <w:right w:val="none" w:sz="0" w:space="0" w:color="auto"/>
      </w:divBdr>
    </w:div>
    <w:div w:id="1082068051">
      <w:bodyDiv w:val="1"/>
      <w:marLeft w:val="0"/>
      <w:marRight w:val="0"/>
      <w:marTop w:val="0"/>
      <w:marBottom w:val="0"/>
      <w:divBdr>
        <w:top w:val="none" w:sz="0" w:space="0" w:color="auto"/>
        <w:left w:val="none" w:sz="0" w:space="0" w:color="auto"/>
        <w:bottom w:val="none" w:sz="0" w:space="0" w:color="auto"/>
        <w:right w:val="none" w:sz="0" w:space="0" w:color="auto"/>
      </w:divBdr>
    </w:div>
    <w:div w:id="1143735304">
      <w:bodyDiv w:val="1"/>
      <w:marLeft w:val="0"/>
      <w:marRight w:val="0"/>
      <w:marTop w:val="0"/>
      <w:marBottom w:val="0"/>
      <w:divBdr>
        <w:top w:val="none" w:sz="0" w:space="0" w:color="auto"/>
        <w:left w:val="none" w:sz="0" w:space="0" w:color="auto"/>
        <w:bottom w:val="none" w:sz="0" w:space="0" w:color="auto"/>
        <w:right w:val="none" w:sz="0" w:space="0" w:color="auto"/>
      </w:divBdr>
    </w:div>
    <w:div w:id="1303270668">
      <w:bodyDiv w:val="1"/>
      <w:marLeft w:val="0"/>
      <w:marRight w:val="0"/>
      <w:marTop w:val="0"/>
      <w:marBottom w:val="0"/>
      <w:divBdr>
        <w:top w:val="none" w:sz="0" w:space="0" w:color="auto"/>
        <w:left w:val="none" w:sz="0" w:space="0" w:color="auto"/>
        <w:bottom w:val="none" w:sz="0" w:space="0" w:color="auto"/>
        <w:right w:val="none" w:sz="0" w:space="0" w:color="auto"/>
      </w:divBdr>
    </w:div>
    <w:div w:id="1315254980">
      <w:bodyDiv w:val="1"/>
      <w:marLeft w:val="0"/>
      <w:marRight w:val="0"/>
      <w:marTop w:val="0"/>
      <w:marBottom w:val="0"/>
      <w:divBdr>
        <w:top w:val="none" w:sz="0" w:space="0" w:color="auto"/>
        <w:left w:val="none" w:sz="0" w:space="0" w:color="auto"/>
        <w:bottom w:val="none" w:sz="0" w:space="0" w:color="auto"/>
        <w:right w:val="none" w:sz="0" w:space="0" w:color="auto"/>
      </w:divBdr>
    </w:div>
    <w:div w:id="1610627333">
      <w:bodyDiv w:val="1"/>
      <w:marLeft w:val="0"/>
      <w:marRight w:val="0"/>
      <w:marTop w:val="0"/>
      <w:marBottom w:val="0"/>
      <w:divBdr>
        <w:top w:val="none" w:sz="0" w:space="0" w:color="auto"/>
        <w:left w:val="none" w:sz="0" w:space="0" w:color="auto"/>
        <w:bottom w:val="none" w:sz="0" w:space="0" w:color="auto"/>
        <w:right w:val="none" w:sz="0" w:space="0" w:color="auto"/>
      </w:divBdr>
    </w:div>
    <w:div w:id="1615794057">
      <w:bodyDiv w:val="1"/>
      <w:marLeft w:val="0"/>
      <w:marRight w:val="0"/>
      <w:marTop w:val="0"/>
      <w:marBottom w:val="0"/>
      <w:divBdr>
        <w:top w:val="none" w:sz="0" w:space="0" w:color="auto"/>
        <w:left w:val="none" w:sz="0" w:space="0" w:color="auto"/>
        <w:bottom w:val="none" w:sz="0" w:space="0" w:color="auto"/>
        <w:right w:val="none" w:sz="0" w:space="0" w:color="auto"/>
      </w:divBdr>
    </w:div>
    <w:div w:id="1622375988">
      <w:bodyDiv w:val="1"/>
      <w:marLeft w:val="0"/>
      <w:marRight w:val="0"/>
      <w:marTop w:val="0"/>
      <w:marBottom w:val="0"/>
      <w:divBdr>
        <w:top w:val="none" w:sz="0" w:space="0" w:color="auto"/>
        <w:left w:val="none" w:sz="0" w:space="0" w:color="auto"/>
        <w:bottom w:val="none" w:sz="0" w:space="0" w:color="auto"/>
        <w:right w:val="none" w:sz="0" w:space="0" w:color="auto"/>
      </w:divBdr>
    </w:div>
    <w:div w:id="1678729463">
      <w:bodyDiv w:val="1"/>
      <w:marLeft w:val="0"/>
      <w:marRight w:val="0"/>
      <w:marTop w:val="0"/>
      <w:marBottom w:val="0"/>
      <w:divBdr>
        <w:top w:val="none" w:sz="0" w:space="0" w:color="auto"/>
        <w:left w:val="none" w:sz="0" w:space="0" w:color="auto"/>
        <w:bottom w:val="none" w:sz="0" w:space="0" w:color="auto"/>
        <w:right w:val="none" w:sz="0" w:space="0" w:color="auto"/>
      </w:divBdr>
    </w:div>
    <w:div w:id="1926961581">
      <w:bodyDiv w:val="1"/>
      <w:marLeft w:val="0"/>
      <w:marRight w:val="0"/>
      <w:marTop w:val="0"/>
      <w:marBottom w:val="0"/>
      <w:divBdr>
        <w:top w:val="none" w:sz="0" w:space="0" w:color="auto"/>
        <w:left w:val="none" w:sz="0" w:space="0" w:color="auto"/>
        <w:bottom w:val="none" w:sz="0" w:space="0" w:color="auto"/>
        <w:right w:val="none" w:sz="0" w:space="0" w:color="auto"/>
      </w:divBdr>
    </w:div>
    <w:div w:id="1995066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200EC-1EA6-4E78-8CD7-2CBFC4E47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3302</Words>
  <Characters>18165</Characters>
  <Application>Microsoft Office Word</Application>
  <DocSecurity>0</DocSecurity>
  <Lines>151</Lines>
  <Paragraphs>42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CA-CIB</Company>
  <LinksUpToDate>false</LinksUpToDate>
  <CharactersWithSpaces>21425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AMAR, Karima (CA-CIB)</dc:creator>
  <cp:lastModifiedBy>AMANOU, Herve (CA-CIB)</cp:lastModifiedBy>
  <cp:revision>8</cp:revision>
  <cp:lastPrinted>2018-04-30T10:39:00Z</cp:lastPrinted>
  <dcterms:created xsi:type="dcterms:W3CDTF">2022-03-28T08:14:00Z</dcterms:created>
  <dcterms:modified xsi:type="dcterms:W3CDTF">2022-04-22T12:55:00Z</dcterms:modified>
</cp:coreProperties>
</file>