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06B41" w14:textId="77777777" w:rsidR="00767339" w:rsidRDefault="00767339" w:rsidP="00767339">
      <w:pPr>
        <w:pStyle w:val="En-tte"/>
        <w:jc w:val="right"/>
        <w:rPr>
          <w:noProof/>
          <w:lang w:eastAsia="en-GB"/>
        </w:rPr>
      </w:pPr>
      <w:r>
        <w:tab/>
      </w:r>
      <w:r>
        <w:rPr>
          <w:noProof/>
          <w:lang w:eastAsia="en-GB"/>
        </w:rPr>
        <w:t xml:space="preserve"> </w:t>
      </w:r>
    </w:p>
    <w:p w14:paraId="1E2F8451" w14:textId="77777777" w:rsidR="00767339" w:rsidRDefault="00767339" w:rsidP="00767339">
      <w:pPr>
        <w:pStyle w:val="En-tte"/>
        <w:jc w:val="right"/>
        <w:rPr>
          <w:noProof/>
          <w:lang w:eastAsia="en-GB"/>
        </w:rPr>
      </w:pPr>
    </w:p>
    <w:p w14:paraId="1FF3D9E4" w14:textId="77777777" w:rsidR="00767339" w:rsidRDefault="00767339" w:rsidP="00767339">
      <w:pPr>
        <w:pStyle w:val="En-tte"/>
        <w:jc w:val="right"/>
        <w:rPr>
          <w:noProof/>
          <w:lang w:eastAsia="en-GB"/>
        </w:rPr>
      </w:pPr>
    </w:p>
    <w:p w14:paraId="68FAB7B9" w14:textId="77777777" w:rsidR="00767339" w:rsidRPr="00767339" w:rsidRDefault="00767339" w:rsidP="00767339">
      <w:pPr>
        <w:pBdr>
          <w:bottom w:val="single" w:sz="8" w:space="4" w:color="4F81BD" w:themeColor="accent1"/>
        </w:pBdr>
        <w:spacing w:before="120" w:after="300" w:line="240" w:lineRule="auto"/>
        <w:contextualSpacing/>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fldChar w:fldCharType="begin"/>
      </w:r>
      <w:r w:rsidRPr="00767339">
        <w:rPr>
          <w:rFonts w:asciiTheme="majorHAnsi" w:eastAsiaTheme="majorEastAsia" w:hAnsiTheme="majorHAnsi" w:cstheme="majorBidi"/>
          <w:noProof/>
          <w:color w:val="17365D" w:themeColor="text2" w:themeShade="BF"/>
          <w:spacing w:val="5"/>
          <w:kern w:val="28"/>
          <w:sz w:val="52"/>
          <w:szCs w:val="52"/>
        </w:rPr>
        <w:instrText xml:space="preserve"> TITLE   \* MERGEFORMAT </w:instrText>
      </w:r>
      <w:r w:rsidRPr="00767339">
        <w:rPr>
          <w:rFonts w:asciiTheme="majorHAnsi" w:eastAsiaTheme="majorEastAsia" w:hAnsiTheme="majorHAnsi" w:cstheme="majorBidi"/>
          <w:noProof/>
          <w:color w:val="17365D" w:themeColor="text2" w:themeShade="BF"/>
          <w:spacing w:val="5"/>
          <w:kern w:val="28"/>
          <w:sz w:val="52"/>
          <w:szCs w:val="52"/>
        </w:rPr>
        <w:fldChar w:fldCharType="separate"/>
      </w:r>
      <w:r>
        <w:rPr>
          <w:rFonts w:asciiTheme="majorHAnsi" w:eastAsiaTheme="majorEastAsia" w:hAnsiTheme="majorHAnsi" w:cstheme="majorBidi"/>
          <w:noProof/>
          <w:color w:val="17365D" w:themeColor="text2" w:themeShade="BF"/>
          <w:spacing w:val="5"/>
          <w:kern w:val="28"/>
          <w:sz w:val="52"/>
          <w:szCs w:val="52"/>
        </w:rPr>
        <w:t>MiFID II</w:t>
      </w:r>
      <w:r w:rsidRPr="00767339">
        <w:rPr>
          <w:rFonts w:asciiTheme="majorHAnsi" w:eastAsiaTheme="majorEastAsia" w:hAnsiTheme="majorHAnsi" w:cstheme="majorBidi"/>
          <w:noProof/>
          <w:color w:val="17365D" w:themeColor="text2" w:themeShade="BF"/>
          <w:spacing w:val="5"/>
          <w:kern w:val="28"/>
          <w:sz w:val="52"/>
          <w:szCs w:val="52"/>
        </w:rPr>
        <w:fldChar w:fldCharType="end"/>
      </w: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5672160" w14:textId="77777777" w:rsidR="00767339" w:rsidRPr="00767339" w:rsidRDefault="00767339" w:rsidP="00767339">
      <w:pPr>
        <w:pStyle w:val="Default"/>
        <w:spacing w:line="276"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 xml:space="preserve">Annual publication of information on the identity of execution venues </w:t>
      </w:r>
      <w:r>
        <w:rPr>
          <w:rFonts w:asciiTheme="majorHAnsi" w:eastAsiaTheme="majorEastAsia" w:hAnsiTheme="majorHAnsi" w:cstheme="majorBidi"/>
          <w:noProof/>
          <w:color w:val="17365D" w:themeColor="text2" w:themeShade="BF"/>
          <w:spacing w:val="5"/>
          <w:kern w:val="28"/>
          <w:sz w:val="52"/>
          <w:szCs w:val="52"/>
        </w:rPr>
        <w:t>and on the quality of execution</w:t>
      </w:r>
    </w:p>
    <w:p w14:paraId="107852AB" w14:textId="77777777" w:rsidR="00767339" w:rsidRPr="00767339" w:rsidRDefault="00767339" w:rsidP="00767339">
      <w:pPr>
        <w:pBdr>
          <w:bottom w:val="single" w:sz="8" w:space="4" w:color="4F81BD" w:themeColor="accent1"/>
        </w:pBdr>
        <w:spacing w:before="120" w:after="300" w:line="240" w:lineRule="auto"/>
        <w:contextualSpacing/>
        <w:jc w:val="both"/>
        <w:rPr>
          <w:sz w:val="20"/>
        </w:rPr>
      </w:pP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3082816" w14:textId="77777777" w:rsidR="00767339" w:rsidRDefault="00767339" w:rsidP="00767339">
      <w:pPr>
        <w:spacing w:before="120" w:after="0" w:line="264" w:lineRule="auto"/>
        <w:jc w:val="both"/>
        <w:rPr>
          <w:b/>
          <w:sz w:val="40"/>
          <w:szCs w:val="40"/>
        </w:rPr>
      </w:pPr>
    </w:p>
    <w:p w14:paraId="1AF6B627" w14:textId="668FB471" w:rsidR="00767339" w:rsidRPr="00767339" w:rsidRDefault="00767339" w:rsidP="00767339">
      <w:pPr>
        <w:spacing w:before="120" w:after="0" w:line="264"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20</w:t>
      </w:r>
      <w:r w:rsidR="00A536C5">
        <w:rPr>
          <w:rFonts w:asciiTheme="majorHAnsi" w:eastAsiaTheme="majorEastAsia" w:hAnsiTheme="majorHAnsi" w:cstheme="majorBidi"/>
          <w:noProof/>
          <w:color w:val="17365D" w:themeColor="text2" w:themeShade="BF"/>
          <w:spacing w:val="5"/>
          <w:kern w:val="28"/>
          <w:sz w:val="52"/>
          <w:szCs w:val="52"/>
        </w:rPr>
        <w:t>2</w:t>
      </w:r>
      <w:r w:rsidR="0088792D">
        <w:rPr>
          <w:rFonts w:asciiTheme="majorHAnsi" w:eastAsiaTheme="majorEastAsia" w:hAnsiTheme="majorHAnsi" w:cstheme="majorBidi"/>
          <w:noProof/>
          <w:color w:val="17365D" w:themeColor="text2" w:themeShade="BF"/>
          <w:spacing w:val="5"/>
          <w:kern w:val="28"/>
          <w:sz w:val="52"/>
          <w:szCs w:val="52"/>
        </w:rPr>
        <w:t>2</w:t>
      </w:r>
    </w:p>
    <w:p w14:paraId="05B6A7D9" w14:textId="77777777" w:rsidR="00767339" w:rsidRDefault="00767339" w:rsidP="00767339">
      <w:pPr>
        <w:spacing w:before="120" w:after="0" w:line="264" w:lineRule="auto"/>
        <w:jc w:val="both"/>
        <w:rPr>
          <w:b/>
          <w:sz w:val="40"/>
          <w:szCs w:val="40"/>
        </w:rPr>
      </w:pPr>
    </w:p>
    <w:p w14:paraId="4B51F3B7" w14:textId="77777777" w:rsidR="00767339" w:rsidRDefault="00767339" w:rsidP="00767339">
      <w:pPr>
        <w:spacing w:before="120" w:after="0" w:line="264" w:lineRule="auto"/>
        <w:jc w:val="both"/>
        <w:rPr>
          <w:b/>
          <w:sz w:val="40"/>
          <w:szCs w:val="40"/>
        </w:rPr>
      </w:pPr>
    </w:p>
    <w:p w14:paraId="21FFA30D" w14:textId="77777777" w:rsidR="00767339" w:rsidRPr="00767339" w:rsidRDefault="00767339" w:rsidP="00767339">
      <w:pPr>
        <w:spacing w:before="120" w:after="0" w:line="264" w:lineRule="auto"/>
        <w:jc w:val="both"/>
        <w:rPr>
          <w:sz w:val="20"/>
        </w:rPr>
      </w:pPr>
    </w:p>
    <w:p w14:paraId="671EEEF4" w14:textId="77777777" w:rsidR="00767339" w:rsidRDefault="00767339" w:rsidP="00767339">
      <w:pPr>
        <w:spacing w:before="120" w:after="0" w:line="264" w:lineRule="auto"/>
        <w:jc w:val="both"/>
        <w:rPr>
          <w:rFonts w:asciiTheme="majorHAnsi" w:hAnsiTheme="majorHAnsi"/>
          <w:sz w:val="36"/>
          <w:szCs w:val="36"/>
        </w:rPr>
      </w:pPr>
    </w:p>
    <w:p w14:paraId="28C2008D" w14:textId="77777777" w:rsidR="00767339" w:rsidRDefault="00767339" w:rsidP="00767339">
      <w:pPr>
        <w:spacing w:before="120" w:after="0" w:line="264" w:lineRule="auto"/>
        <w:jc w:val="both"/>
        <w:rPr>
          <w:rFonts w:asciiTheme="majorHAnsi" w:hAnsiTheme="majorHAnsi"/>
          <w:sz w:val="36"/>
          <w:szCs w:val="36"/>
        </w:rPr>
      </w:pPr>
    </w:p>
    <w:p w14:paraId="359BE901" w14:textId="77777777" w:rsidR="00F36363" w:rsidRDefault="00F36363" w:rsidP="00767339">
      <w:pPr>
        <w:spacing w:before="120" w:after="0" w:line="264" w:lineRule="auto"/>
        <w:jc w:val="both"/>
        <w:rPr>
          <w:rFonts w:asciiTheme="majorHAnsi" w:hAnsiTheme="majorHAnsi"/>
          <w:sz w:val="36"/>
          <w:szCs w:val="36"/>
        </w:rPr>
      </w:pPr>
    </w:p>
    <w:p w14:paraId="3946A5A7" w14:textId="77777777" w:rsidR="000820BD" w:rsidRDefault="000820BD" w:rsidP="00767339">
      <w:pPr>
        <w:spacing w:before="120" w:after="0" w:line="264" w:lineRule="auto"/>
        <w:jc w:val="both"/>
        <w:rPr>
          <w:rFonts w:asciiTheme="majorHAnsi" w:hAnsiTheme="majorHAnsi"/>
          <w:sz w:val="36"/>
          <w:szCs w:val="36"/>
        </w:rPr>
      </w:pPr>
    </w:p>
    <w:p w14:paraId="664DCCC9" w14:textId="77777777" w:rsidR="000820BD" w:rsidRDefault="000820BD" w:rsidP="00767339">
      <w:pPr>
        <w:spacing w:before="120" w:after="0" w:line="264" w:lineRule="auto"/>
        <w:jc w:val="both"/>
        <w:rPr>
          <w:rFonts w:asciiTheme="majorHAnsi" w:hAnsiTheme="majorHAnsi"/>
          <w:sz w:val="36"/>
          <w:szCs w:val="36"/>
        </w:rPr>
      </w:pPr>
    </w:p>
    <w:p w14:paraId="51B6220C" w14:textId="77777777" w:rsidR="00F36363" w:rsidRDefault="00F36363" w:rsidP="00767339">
      <w:pPr>
        <w:spacing w:before="120" w:after="0" w:line="264" w:lineRule="auto"/>
        <w:jc w:val="both"/>
        <w:rPr>
          <w:rFonts w:asciiTheme="majorHAnsi" w:hAnsiTheme="majorHAnsi"/>
          <w:sz w:val="36"/>
          <w:szCs w:val="36"/>
        </w:rPr>
      </w:pPr>
    </w:p>
    <w:p w14:paraId="5344F6D5" w14:textId="77777777" w:rsidR="00F36363" w:rsidRDefault="00F36363" w:rsidP="00767339">
      <w:pPr>
        <w:spacing w:before="120" w:after="0" w:line="264" w:lineRule="auto"/>
        <w:jc w:val="both"/>
        <w:rPr>
          <w:rFonts w:asciiTheme="majorHAnsi" w:hAnsiTheme="majorHAnsi"/>
          <w:sz w:val="36"/>
          <w:szCs w:val="36"/>
        </w:rPr>
      </w:pPr>
    </w:p>
    <w:p w14:paraId="17BE265E" w14:textId="77777777" w:rsidR="00F36363" w:rsidRDefault="00F36363" w:rsidP="00767339">
      <w:pPr>
        <w:spacing w:before="120" w:after="0" w:line="264" w:lineRule="auto"/>
        <w:jc w:val="both"/>
        <w:rPr>
          <w:rFonts w:asciiTheme="majorHAnsi" w:hAnsiTheme="majorHAnsi"/>
          <w:sz w:val="36"/>
          <w:szCs w:val="36"/>
        </w:rPr>
      </w:pPr>
    </w:p>
    <w:p w14:paraId="74D2A795" w14:textId="77777777" w:rsidR="00767339" w:rsidRDefault="00767339" w:rsidP="00767339">
      <w:pPr>
        <w:spacing w:before="120" w:after="0" w:line="264" w:lineRule="auto"/>
        <w:jc w:val="both"/>
        <w:rPr>
          <w:rFonts w:asciiTheme="majorHAnsi" w:hAnsiTheme="majorHAnsi"/>
          <w:sz w:val="36"/>
          <w:szCs w:val="36"/>
        </w:rPr>
      </w:pPr>
    </w:p>
    <w:p w14:paraId="5073EB40" w14:textId="77777777" w:rsidR="00767339" w:rsidRDefault="00767339" w:rsidP="00767339">
      <w:pPr>
        <w:spacing w:before="120" w:after="0" w:line="264" w:lineRule="auto"/>
        <w:jc w:val="both"/>
        <w:rPr>
          <w:rFonts w:asciiTheme="majorHAnsi" w:hAnsiTheme="majorHAnsi"/>
          <w:sz w:val="36"/>
          <w:szCs w:val="36"/>
        </w:rPr>
      </w:pPr>
    </w:p>
    <w:p w14:paraId="0A14D44A" w14:textId="77777777" w:rsidR="00767339" w:rsidRDefault="00767339" w:rsidP="00767339">
      <w:pPr>
        <w:spacing w:before="120" w:after="0" w:line="264" w:lineRule="auto"/>
        <w:jc w:val="both"/>
        <w:rPr>
          <w:rFonts w:asciiTheme="majorHAnsi" w:hAnsiTheme="majorHAnsi"/>
          <w:sz w:val="36"/>
          <w:szCs w:val="36"/>
        </w:rPr>
      </w:pPr>
    </w:p>
    <w:p w14:paraId="5C20CCC9" w14:textId="77777777" w:rsidR="00767339" w:rsidRDefault="00767339" w:rsidP="00767339">
      <w:pPr>
        <w:spacing w:before="120" w:after="0" w:line="264" w:lineRule="auto"/>
        <w:jc w:val="both"/>
        <w:rPr>
          <w:rFonts w:asciiTheme="majorHAnsi" w:hAnsiTheme="majorHAnsi"/>
          <w:sz w:val="36"/>
          <w:szCs w:val="36"/>
        </w:rPr>
      </w:pPr>
    </w:p>
    <w:p w14:paraId="715D13CF" w14:textId="77777777" w:rsidR="00767339" w:rsidRDefault="00767339" w:rsidP="00767339">
      <w:pPr>
        <w:spacing w:before="120" w:after="0" w:line="264" w:lineRule="auto"/>
        <w:jc w:val="both"/>
        <w:rPr>
          <w:rFonts w:asciiTheme="majorHAnsi" w:hAnsiTheme="majorHAnsi"/>
          <w:sz w:val="36"/>
          <w:szCs w:val="36"/>
        </w:rPr>
      </w:pPr>
    </w:p>
    <w:sdt>
      <w:sdtPr>
        <w:rPr>
          <w:rFonts w:asciiTheme="minorHAnsi" w:eastAsiaTheme="minorEastAsia" w:hAnsiTheme="minorHAnsi" w:cstheme="minorBidi"/>
          <w:b w:val="0"/>
          <w:bCs w:val="0"/>
          <w:color w:val="auto"/>
          <w:sz w:val="22"/>
          <w:szCs w:val="22"/>
        </w:rPr>
        <w:id w:val="1218937029"/>
        <w:docPartObj>
          <w:docPartGallery w:val="Table of Contents"/>
          <w:docPartUnique/>
        </w:docPartObj>
      </w:sdtPr>
      <w:sdtEndPr>
        <w:rPr>
          <w:color w:val="1F497D" w:themeColor="text2"/>
        </w:rPr>
      </w:sdtEndPr>
      <w:sdtContent>
        <w:p w14:paraId="1ACDCF68" w14:textId="77777777" w:rsidR="00475252" w:rsidRDefault="00475252" w:rsidP="00475252">
          <w:pPr>
            <w:pStyle w:val="En-ttedetabledesmatires"/>
          </w:pPr>
          <w:r>
            <w:t>Table of Contents</w:t>
          </w:r>
        </w:p>
        <w:p w14:paraId="649A8F23" w14:textId="77777777" w:rsidR="00E31F5C" w:rsidRPr="00E31F5C" w:rsidRDefault="00E31F5C" w:rsidP="00E31F5C">
          <w:pPr>
            <w:rPr>
              <w:lang w:val="en-US" w:eastAsia="ja-JP"/>
            </w:rPr>
          </w:pPr>
        </w:p>
        <w:p w14:paraId="18722110"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Background</w:t>
          </w:r>
          <w:r w:rsidRPr="00E31F5C" w:rsidDel="00767339">
            <w:rPr>
              <w:rFonts w:asciiTheme="majorHAnsi" w:eastAsiaTheme="majorEastAsia" w:hAnsiTheme="majorHAnsi" w:cstheme="majorBidi"/>
              <w:b/>
              <w:bCs/>
              <w:color w:val="1F497D" w:themeColor="text2"/>
              <w:sz w:val="28"/>
              <w:szCs w:val="28"/>
            </w:rPr>
            <w:t xml:space="preserve"> </w:t>
          </w:r>
          <w:r w:rsidRPr="00E31F5C">
            <w:rPr>
              <w:rFonts w:asciiTheme="majorHAnsi" w:eastAsiaTheme="majorEastAsia" w:hAnsiTheme="majorHAnsi" w:cstheme="majorBidi"/>
              <w:b/>
              <w:bCs/>
              <w:color w:val="1F497D" w:themeColor="text2"/>
              <w:sz w:val="28"/>
              <w:szCs w:val="28"/>
            </w:rPr>
            <w:t xml:space="preserve"> </w:t>
          </w:r>
          <w:r w:rsidRPr="00E31F5C">
            <w:rPr>
              <w:b/>
              <w:color w:val="1F497D" w:themeColor="text2"/>
            </w:rPr>
            <w:ptab w:relativeTo="margin" w:alignment="right" w:leader="dot"/>
          </w:r>
          <w:r w:rsidR="003108B4">
            <w:rPr>
              <w:b/>
              <w:bCs/>
              <w:color w:val="1F497D" w:themeColor="text2"/>
            </w:rPr>
            <w:t>3</w:t>
          </w:r>
        </w:p>
        <w:p w14:paraId="6D6B1324"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Scope</w:t>
          </w:r>
          <w:r w:rsidRPr="00E31F5C">
            <w:rPr>
              <w:b/>
              <w:color w:val="1F497D" w:themeColor="text2"/>
            </w:rPr>
            <w:ptab w:relativeTo="margin" w:alignment="right" w:leader="dot"/>
          </w:r>
          <w:r w:rsidR="003108B4">
            <w:rPr>
              <w:b/>
              <w:bCs/>
              <w:color w:val="1F497D" w:themeColor="text2"/>
            </w:rPr>
            <w:t>3</w:t>
          </w:r>
        </w:p>
        <w:p w14:paraId="3FCA2BFD" w14:textId="77777777" w:rsidR="00475252" w:rsidRPr="00E31F5C" w:rsidRDefault="00475252" w:rsidP="00475252">
          <w:pPr>
            <w:pStyle w:val="TM2"/>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Part I: The top five execution venues details</w:t>
          </w:r>
          <w:r w:rsidR="003108B4">
            <w:rPr>
              <w:rFonts w:asciiTheme="majorHAnsi" w:eastAsiaTheme="majorEastAsia" w:hAnsiTheme="majorHAnsi" w:cstheme="majorBidi"/>
              <w:b/>
              <w:bCs/>
              <w:color w:val="1F497D" w:themeColor="text2"/>
              <w:sz w:val="28"/>
              <w:szCs w:val="28"/>
            </w:rPr>
            <w:t xml:space="preserve"> </w:t>
          </w:r>
          <w:r w:rsidR="003108B4" w:rsidRPr="003108B4">
            <w:rPr>
              <w:rFonts w:asciiTheme="majorHAnsi" w:eastAsiaTheme="majorEastAsia" w:hAnsiTheme="majorHAnsi" w:cstheme="majorBidi"/>
              <w:b/>
              <w:bCs/>
              <w:color w:val="1F497D" w:themeColor="text2"/>
              <w:sz w:val="28"/>
              <w:szCs w:val="28"/>
            </w:rPr>
            <w:t>(art. 3.1</w:t>
          </w:r>
          <w:r w:rsidR="00B419F4">
            <w:rPr>
              <w:rFonts w:asciiTheme="majorHAnsi" w:eastAsiaTheme="majorEastAsia" w:hAnsiTheme="majorHAnsi" w:cstheme="majorBidi"/>
              <w:b/>
              <w:bCs/>
              <w:color w:val="1F497D" w:themeColor="text2"/>
              <w:sz w:val="28"/>
              <w:szCs w:val="28"/>
            </w:rPr>
            <w:t>/3.2</w:t>
          </w:r>
          <w:r w:rsidR="003108B4" w:rsidRPr="003108B4">
            <w:rPr>
              <w:rFonts w:asciiTheme="majorHAnsi" w:eastAsiaTheme="majorEastAsia" w:hAnsiTheme="majorHAnsi" w:cstheme="majorBidi"/>
              <w:b/>
              <w:bCs/>
              <w:color w:val="1F497D" w:themeColor="text2"/>
              <w:sz w:val="28"/>
              <w:szCs w:val="28"/>
            </w:rPr>
            <w:t xml:space="preserve"> of EU</w:t>
          </w:r>
          <w:r w:rsidR="003108B4" w:rsidRPr="00076D9E">
            <w:rPr>
              <w:rFonts w:asciiTheme="majorHAnsi" w:eastAsiaTheme="majorEastAsia" w:hAnsiTheme="majorHAnsi" w:cstheme="majorBidi"/>
              <w:b/>
              <w:bCs/>
              <w:color w:val="365F91" w:themeColor="accent1" w:themeShade="BF"/>
              <w:szCs w:val="28"/>
            </w:rPr>
            <w:t xml:space="preserve"> </w:t>
          </w:r>
          <w:r w:rsidR="003108B4" w:rsidRPr="003108B4">
            <w:rPr>
              <w:rFonts w:asciiTheme="majorHAnsi" w:eastAsiaTheme="majorEastAsia" w:hAnsiTheme="majorHAnsi" w:cstheme="majorBidi"/>
              <w:b/>
              <w:bCs/>
              <w:color w:val="1F497D" w:themeColor="text2"/>
              <w:sz w:val="28"/>
              <w:szCs w:val="28"/>
            </w:rPr>
            <w:t>2017/576)</w:t>
          </w:r>
          <w:r w:rsidRPr="00E31F5C">
            <w:rPr>
              <w:b/>
              <w:color w:val="1F497D" w:themeColor="text2"/>
            </w:rPr>
            <w:t xml:space="preserve"> </w:t>
          </w:r>
          <w:r w:rsidRPr="00E31F5C">
            <w:rPr>
              <w:b/>
              <w:color w:val="1F497D" w:themeColor="text2"/>
            </w:rPr>
            <w:ptab w:relativeTo="margin" w:alignment="right" w:leader="dot"/>
          </w:r>
          <w:r w:rsidR="003108B4">
            <w:rPr>
              <w:b/>
              <w:color w:val="1F497D" w:themeColor="text2"/>
            </w:rPr>
            <w:t>4</w:t>
          </w:r>
          <w:r w:rsidRPr="00E31F5C">
            <w:rPr>
              <w:b/>
              <w:bCs/>
              <w:color w:val="1F497D" w:themeColor="text2"/>
            </w:rPr>
            <w:t xml:space="preserve"> </w:t>
          </w:r>
        </w:p>
        <w:p w14:paraId="4A064F91" w14:textId="77777777" w:rsidR="00475252" w:rsidRPr="00E31F5C" w:rsidRDefault="00E31F5C" w:rsidP="00E31F5C">
          <w:pPr>
            <w:pStyle w:val="TM3"/>
            <w:numPr>
              <w:ilvl w:val="0"/>
              <w:numId w:val="20"/>
            </w:numPr>
            <w:rPr>
              <w:rFonts w:eastAsiaTheme="minorHAnsi"/>
              <w:b/>
              <w:color w:val="1F497D" w:themeColor="text2"/>
              <w:lang w:val="en-GB" w:eastAsia="en-US"/>
            </w:rPr>
          </w:pPr>
          <w:r w:rsidRPr="00E31F5C">
            <w:rPr>
              <w:rFonts w:asciiTheme="majorHAnsi" w:eastAsiaTheme="majorEastAsia" w:hAnsiTheme="majorHAnsi" w:cstheme="majorBidi"/>
              <w:b/>
              <w:bCs/>
              <w:color w:val="1F497D" w:themeColor="text2"/>
              <w:sz w:val="28"/>
              <w:szCs w:val="28"/>
            </w:rPr>
            <w:t>Part II Summary of analysis and conclusions on the quality of execution (art. 3.3 of EU 2017/576)</w:t>
          </w:r>
          <w:r w:rsidR="00475252" w:rsidRPr="00E31F5C">
            <w:rPr>
              <w:b/>
              <w:color w:val="1F497D" w:themeColor="text2"/>
            </w:rPr>
            <w:ptab w:relativeTo="margin" w:alignment="right" w:leader="dot"/>
          </w:r>
          <w:r w:rsidR="003108B4">
            <w:rPr>
              <w:b/>
              <w:color w:val="1F497D" w:themeColor="text2"/>
            </w:rPr>
            <w:t>6</w:t>
          </w:r>
        </w:p>
      </w:sdtContent>
    </w:sdt>
    <w:p w14:paraId="6F275287" w14:textId="77777777" w:rsidR="00767339" w:rsidRDefault="00767339" w:rsidP="00767339">
      <w:pPr>
        <w:spacing w:before="120" w:after="0" w:line="264" w:lineRule="auto"/>
        <w:jc w:val="both"/>
        <w:rPr>
          <w:rFonts w:asciiTheme="majorHAnsi" w:hAnsiTheme="majorHAnsi"/>
          <w:sz w:val="36"/>
          <w:szCs w:val="36"/>
        </w:rPr>
      </w:pPr>
    </w:p>
    <w:p w14:paraId="5295F19D" w14:textId="77777777" w:rsidR="00767339" w:rsidRDefault="00767339" w:rsidP="00767339">
      <w:pPr>
        <w:spacing w:before="120" w:after="0" w:line="264" w:lineRule="auto"/>
        <w:jc w:val="both"/>
        <w:rPr>
          <w:rFonts w:asciiTheme="majorHAnsi" w:hAnsiTheme="majorHAnsi"/>
          <w:sz w:val="36"/>
          <w:szCs w:val="36"/>
        </w:rPr>
      </w:pPr>
    </w:p>
    <w:p w14:paraId="5D62F584" w14:textId="77777777" w:rsidR="00767339" w:rsidRDefault="00767339" w:rsidP="00767339">
      <w:pPr>
        <w:spacing w:before="120" w:after="0" w:line="264" w:lineRule="auto"/>
        <w:jc w:val="both"/>
        <w:rPr>
          <w:rFonts w:asciiTheme="majorHAnsi" w:hAnsiTheme="majorHAnsi"/>
          <w:sz w:val="36"/>
          <w:szCs w:val="36"/>
        </w:rPr>
      </w:pPr>
    </w:p>
    <w:p w14:paraId="3871AEDB" w14:textId="77777777" w:rsidR="00767339" w:rsidRDefault="00767339" w:rsidP="00767339">
      <w:pPr>
        <w:spacing w:before="120" w:after="0" w:line="264" w:lineRule="auto"/>
        <w:jc w:val="both"/>
        <w:rPr>
          <w:rFonts w:asciiTheme="majorHAnsi" w:hAnsiTheme="majorHAnsi"/>
          <w:sz w:val="36"/>
          <w:szCs w:val="36"/>
        </w:rPr>
      </w:pPr>
    </w:p>
    <w:p w14:paraId="7C4DE298" w14:textId="77777777" w:rsidR="00AE5EF2" w:rsidRDefault="00AE5EF2" w:rsidP="00767339">
      <w:pPr>
        <w:ind w:left="135"/>
        <w:jc w:val="both"/>
        <w:rPr>
          <w:b/>
          <w:sz w:val="28"/>
          <w:szCs w:val="28"/>
        </w:rPr>
      </w:pPr>
    </w:p>
    <w:p w14:paraId="52FAD5A8" w14:textId="77777777" w:rsidR="00767339" w:rsidRDefault="00767339" w:rsidP="00767339">
      <w:pPr>
        <w:spacing w:before="120" w:after="0" w:line="264" w:lineRule="auto"/>
        <w:jc w:val="both"/>
        <w:rPr>
          <w:rFonts w:asciiTheme="majorHAnsi" w:hAnsiTheme="majorHAnsi"/>
          <w:sz w:val="36"/>
          <w:szCs w:val="36"/>
        </w:rPr>
      </w:pPr>
    </w:p>
    <w:p w14:paraId="7BE3725B" w14:textId="77777777" w:rsidR="00767339" w:rsidRDefault="00767339" w:rsidP="00767339">
      <w:pPr>
        <w:spacing w:before="120" w:after="0" w:line="264" w:lineRule="auto"/>
        <w:jc w:val="both"/>
        <w:rPr>
          <w:rFonts w:asciiTheme="majorHAnsi" w:hAnsiTheme="majorHAnsi"/>
          <w:sz w:val="36"/>
          <w:szCs w:val="36"/>
        </w:rPr>
      </w:pPr>
    </w:p>
    <w:p w14:paraId="5FA71594" w14:textId="77777777" w:rsidR="00F36363" w:rsidRDefault="00F36363">
      <w:pPr>
        <w:pStyle w:val="TM3"/>
        <w:ind w:left="446"/>
      </w:pPr>
    </w:p>
    <w:p w14:paraId="27F3A6CF" w14:textId="77777777" w:rsidR="00767339" w:rsidRDefault="00767339" w:rsidP="00767339">
      <w:pPr>
        <w:spacing w:before="120" w:after="0" w:line="264" w:lineRule="auto"/>
        <w:jc w:val="both"/>
        <w:rPr>
          <w:rFonts w:asciiTheme="majorHAnsi" w:hAnsiTheme="majorHAnsi"/>
          <w:sz w:val="36"/>
          <w:szCs w:val="36"/>
        </w:rPr>
      </w:pPr>
    </w:p>
    <w:p w14:paraId="49531716" w14:textId="77777777" w:rsidR="00767339" w:rsidRDefault="00767339" w:rsidP="00767339">
      <w:pPr>
        <w:spacing w:before="120" w:after="0" w:line="264" w:lineRule="auto"/>
        <w:jc w:val="both"/>
        <w:rPr>
          <w:rFonts w:asciiTheme="majorHAnsi" w:hAnsiTheme="majorHAnsi"/>
          <w:sz w:val="36"/>
          <w:szCs w:val="36"/>
        </w:rPr>
      </w:pPr>
    </w:p>
    <w:p w14:paraId="13A97033" w14:textId="77777777" w:rsidR="00767339" w:rsidRDefault="00767339" w:rsidP="00767339">
      <w:pPr>
        <w:spacing w:before="120" w:after="0" w:line="264" w:lineRule="auto"/>
        <w:jc w:val="both"/>
        <w:rPr>
          <w:rFonts w:asciiTheme="majorHAnsi" w:hAnsiTheme="majorHAnsi"/>
          <w:sz w:val="36"/>
          <w:szCs w:val="36"/>
        </w:rPr>
      </w:pPr>
    </w:p>
    <w:p w14:paraId="664219C2" w14:textId="77777777" w:rsidR="00767339" w:rsidRDefault="00767339" w:rsidP="00767339">
      <w:pPr>
        <w:spacing w:before="120" w:after="0" w:line="264" w:lineRule="auto"/>
        <w:jc w:val="both"/>
        <w:rPr>
          <w:rFonts w:asciiTheme="majorHAnsi" w:hAnsiTheme="majorHAnsi"/>
          <w:sz w:val="36"/>
          <w:szCs w:val="36"/>
        </w:rPr>
      </w:pPr>
    </w:p>
    <w:p w14:paraId="10E32163" w14:textId="77777777" w:rsidR="00767339" w:rsidRDefault="00767339" w:rsidP="00767339">
      <w:pPr>
        <w:spacing w:before="120" w:after="0" w:line="264" w:lineRule="auto"/>
        <w:jc w:val="both"/>
        <w:rPr>
          <w:rFonts w:asciiTheme="majorHAnsi" w:hAnsiTheme="majorHAnsi"/>
          <w:sz w:val="36"/>
          <w:szCs w:val="36"/>
        </w:rPr>
      </w:pPr>
    </w:p>
    <w:p w14:paraId="74849ABE" w14:textId="77777777" w:rsidR="00767339" w:rsidRDefault="00767339" w:rsidP="00767339">
      <w:pPr>
        <w:spacing w:before="120" w:after="0" w:line="264" w:lineRule="auto"/>
        <w:jc w:val="both"/>
        <w:rPr>
          <w:rFonts w:asciiTheme="majorHAnsi" w:hAnsiTheme="majorHAnsi"/>
          <w:sz w:val="36"/>
          <w:szCs w:val="36"/>
        </w:rPr>
      </w:pPr>
    </w:p>
    <w:p w14:paraId="1E316BAD" w14:textId="77777777" w:rsidR="000F4B5A" w:rsidRDefault="000F4B5A" w:rsidP="00767339">
      <w:pPr>
        <w:spacing w:before="120" w:after="0" w:line="264" w:lineRule="auto"/>
        <w:jc w:val="both"/>
        <w:rPr>
          <w:rFonts w:asciiTheme="majorHAnsi" w:hAnsiTheme="majorHAnsi"/>
          <w:sz w:val="36"/>
          <w:szCs w:val="36"/>
        </w:rPr>
      </w:pPr>
    </w:p>
    <w:p w14:paraId="68FCA10A" w14:textId="77777777" w:rsidR="00751445" w:rsidRPr="00F36363" w:rsidRDefault="000D4FBB"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lastRenderedPageBreak/>
        <w:t>Background</w:t>
      </w:r>
      <w:r w:rsidRPr="00F36363" w:rsidDel="00767339">
        <w:rPr>
          <w:rFonts w:asciiTheme="majorHAnsi" w:eastAsiaTheme="majorEastAsia" w:hAnsiTheme="majorHAnsi" w:cstheme="majorBidi"/>
          <w:b/>
          <w:bCs/>
          <w:color w:val="365F91" w:themeColor="accent1" w:themeShade="BF"/>
          <w:sz w:val="28"/>
          <w:szCs w:val="28"/>
          <w:lang w:val="en-US" w:eastAsia="ja-JP"/>
        </w:rPr>
        <w:t xml:space="preserve"> </w:t>
      </w:r>
    </w:p>
    <w:p w14:paraId="3EBAEAA1" w14:textId="77777777" w:rsidR="00751445" w:rsidRPr="00D22E22" w:rsidRDefault="00751445" w:rsidP="00D22E22">
      <w:pPr>
        <w:pStyle w:val="Default"/>
        <w:spacing w:line="276" w:lineRule="auto"/>
        <w:jc w:val="both"/>
        <w:rPr>
          <w:sz w:val="22"/>
          <w:szCs w:val="22"/>
        </w:rPr>
      </w:pPr>
    </w:p>
    <w:p w14:paraId="23C7EED8" w14:textId="77777777" w:rsidR="0023588A" w:rsidRDefault="008A3291" w:rsidP="00D22E22">
      <w:pPr>
        <w:pStyle w:val="Default"/>
        <w:spacing w:line="276" w:lineRule="auto"/>
        <w:jc w:val="both"/>
        <w:rPr>
          <w:sz w:val="22"/>
          <w:szCs w:val="22"/>
        </w:rPr>
      </w:pPr>
      <w:r>
        <w:rPr>
          <w:sz w:val="22"/>
          <w:szCs w:val="22"/>
        </w:rPr>
        <w:t xml:space="preserve">Under </w:t>
      </w:r>
      <w:r w:rsidR="0023588A" w:rsidRPr="00E2731D">
        <w:rPr>
          <w:sz w:val="22"/>
          <w:szCs w:val="22"/>
        </w:rPr>
        <w:t>De</w:t>
      </w:r>
      <w:r w:rsidR="00767339" w:rsidRPr="0023588A">
        <w:rPr>
          <w:sz w:val="22"/>
          <w:szCs w:val="22"/>
        </w:rPr>
        <w:t>legated Regulation EU 2017/576</w:t>
      </w:r>
      <w:r>
        <w:rPr>
          <w:sz w:val="22"/>
          <w:szCs w:val="22"/>
        </w:rPr>
        <w:t xml:space="preserve">, </w:t>
      </w:r>
      <w:r w:rsidR="0023588A" w:rsidRPr="00E2731D">
        <w:rPr>
          <w:sz w:val="22"/>
          <w:szCs w:val="22"/>
        </w:rPr>
        <w:t>investment</w:t>
      </w:r>
      <w:r w:rsidR="0023588A" w:rsidRPr="0023588A">
        <w:rPr>
          <w:sz w:val="22"/>
          <w:szCs w:val="22"/>
        </w:rPr>
        <w:t xml:space="preserve"> firms </w:t>
      </w:r>
      <w:r>
        <w:rPr>
          <w:sz w:val="22"/>
          <w:szCs w:val="22"/>
        </w:rPr>
        <w:t xml:space="preserve">are required </w:t>
      </w:r>
      <w:r w:rsidR="0023588A" w:rsidRPr="00E2731D">
        <w:rPr>
          <w:sz w:val="22"/>
          <w:szCs w:val="22"/>
        </w:rPr>
        <w:t>to publish on an annual basis</w:t>
      </w:r>
      <w:r w:rsidR="0023588A">
        <w:rPr>
          <w:sz w:val="22"/>
          <w:szCs w:val="22"/>
        </w:rPr>
        <w:t>,</w:t>
      </w:r>
      <w:r w:rsidR="0023588A" w:rsidRPr="00E2731D">
        <w:rPr>
          <w:sz w:val="22"/>
          <w:szCs w:val="22"/>
        </w:rPr>
        <w:t xml:space="preserve"> information in relation to client orders executed </w:t>
      </w:r>
      <w:r w:rsidR="00E62CBD" w:rsidRPr="0023588A">
        <w:rPr>
          <w:sz w:val="22"/>
          <w:szCs w:val="22"/>
        </w:rPr>
        <w:t>on trading venues, system</w:t>
      </w:r>
      <w:r w:rsidR="007D0329">
        <w:rPr>
          <w:sz w:val="22"/>
          <w:szCs w:val="22"/>
        </w:rPr>
        <w:t>at</w:t>
      </w:r>
      <w:r w:rsidR="00E62CBD" w:rsidRPr="0023588A">
        <w:rPr>
          <w:sz w:val="22"/>
          <w:szCs w:val="22"/>
        </w:rPr>
        <w:t xml:space="preserve">ic </w:t>
      </w:r>
      <w:proofErr w:type="spellStart"/>
      <w:r w:rsidR="00E62CBD" w:rsidRPr="0023588A">
        <w:rPr>
          <w:sz w:val="22"/>
          <w:szCs w:val="22"/>
        </w:rPr>
        <w:t>internalisers</w:t>
      </w:r>
      <w:proofErr w:type="spellEnd"/>
      <w:r w:rsidR="00E62CBD" w:rsidRPr="0023588A">
        <w:rPr>
          <w:sz w:val="22"/>
          <w:szCs w:val="22"/>
        </w:rPr>
        <w:t xml:space="preserve">, market makers or other liquidity providers, </w:t>
      </w:r>
      <w:r w:rsidR="0023588A" w:rsidRPr="00E2731D">
        <w:rPr>
          <w:sz w:val="22"/>
          <w:szCs w:val="22"/>
        </w:rPr>
        <w:t xml:space="preserve">or entities that perform a similar function in a third country. </w:t>
      </w:r>
    </w:p>
    <w:p w14:paraId="48228B77" w14:textId="77777777" w:rsidR="00475252" w:rsidRDefault="00475252">
      <w:pPr>
        <w:pStyle w:val="TM3"/>
        <w:ind w:left="446"/>
      </w:pPr>
    </w:p>
    <w:p w14:paraId="704D3A81" w14:textId="77777777" w:rsidR="00E2731D" w:rsidRDefault="008A3291" w:rsidP="00D22E22">
      <w:pPr>
        <w:pStyle w:val="Default"/>
        <w:spacing w:line="276" w:lineRule="auto"/>
        <w:jc w:val="both"/>
        <w:rPr>
          <w:sz w:val="22"/>
          <w:szCs w:val="22"/>
        </w:rPr>
      </w:pPr>
      <w:r>
        <w:rPr>
          <w:sz w:val="22"/>
          <w:szCs w:val="22"/>
        </w:rPr>
        <w:t>Th</w:t>
      </w:r>
      <w:r w:rsidR="00164A18">
        <w:rPr>
          <w:sz w:val="22"/>
          <w:szCs w:val="22"/>
        </w:rPr>
        <w:t>e</w:t>
      </w:r>
      <w:r>
        <w:rPr>
          <w:sz w:val="22"/>
          <w:szCs w:val="22"/>
        </w:rPr>
        <w:t xml:space="preserve"> information shall include</w:t>
      </w:r>
      <w:r w:rsidR="00916DC0">
        <w:rPr>
          <w:sz w:val="22"/>
          <w:szCs w:val="22"/>
        </w:rPr>
        <w:t xml:space="preserve"> for each</w:t>
      </w:r>
      <w:r w:rsidR="004A7523">
        <w:rPr>
          <w:sz w:val="22"/>
          <w:szCs w:val="22"/>
        </w:rPr>
        <w:t xml:space="preserve"> class of financial instruments</w:t>
      </w:r>
      <w:r w:rsidR="00E2731D">
        <w:rPr>
          <w:sz w:val="22"/>
          <w:szCs w:val="22"/>
        </w:rPr>
        <w:t>:</w:t>
      </w:r>
    </w:p>
    <w:p w14:paraId="5DCA64BE" w14:textId="77777777" w:rsidR="00E2731D" w:rsidRDefault="007D0329" w:rsidP="00916DC0">
      <w:pPr>
        <w:pStyle w:val="Default"/>
        <w:numPr>
          <w:ilvl w:val="0"/>
          <w:numId w:val="13"/>
        </w:numPr>
        <w:spacing w:line="276" w:lineRule="auto"/>
        <w:jc w:val="both"/>
        <w:rPr>
          <w:sz w:val="22"/>
          <w:szCs w:val="22"/>
        </w:rPr>
      </w:pPr>
      <w:r>
        <w:rPr>
          <w:sz w:val="22"/>
          <w:szCs w:val="22"/>
        </w:rPr>
        <w:t>T</w:t>
      </w:r>
      <w:r w:rsidR="008A3291">
        <w:rPr>
          <w:sz w:val="22"/>
          <w:szCs w:val="22"/>
        </w:rPr>
        <w:t>he top five execution venues in terms of trading volumes for all executed orders</w:t>
      </w:r>
      <w:r w:rsidR="00916DC0">
        <w:rPr>
          <w:sz w:val="22"/>
          <w:szCs w:val="22"/>
        </w:rPr>
        <w:t xml:space="preserve"> of Retail and Professional </w:t>
      </w:r>
      <w:r w:rsidR="006374A4">
        <w:rPr>
          <w:sz w:val="22"/>
          <w:szCs w:val="22"/>
        </w:rPr>
        <w:t>C</w:t>
      </w:r>
      <w:r w:rsidR="00916DC0">
        <w:rPr>
          <w:sz w:val="22"/>
          <w:szCs w:val="22"/>
        </w:rPr>
        <w:t>lients (as defined in art.4.1 of EU</w:t>
      </w:r>
      <w:r w:rsidR="00916DC0" w:rsidRPr="00916DC0">
        <w:t xml:space="preserve"> </w:t>
      </w:r>
      <w:r w:rsidR="00916DC0" w:rsidRPr="00916DC0">
        <w:rPr>
          <w:sz w:val="22"/>
          <w:szCs w:val="22"/>
        </w:rPr>
        <w:t>2014/65/EU</w:t>
      </w:r>
      <w:r>
        <w:rPr>
          <w:sz w:val="22"/>
          <w:szCs w:val="22"/>
        </w:rPr>
        <w:t>, “MiFID II”</w:t>
      </w:r>
      <w:r w:rsidR="00916DC0">
        <w:rPr>
          <w:sz w:val="22"/>
          <w:szCs w:val="22"/>
        </w:rPr>
        <w:t>)</w:t>
      </w:r>
      <w:r w:rsidR="008A3291">
        <w:rPr>
          <w:sz w:val="22"/>
          <w:szCs w:val="22"/>
        </w:rPr>
        <w:t xml:space="preserve">, and </w:t>
      </w:r>
    </w:p>
    <w:p w14:paraId="3887ACDC" w14:textId="77777777" w:rsidR="00E2731D" w:rsidRDefault="007D0329" w:rsidP="00E2731D">
      <w:pPr>
        <w:pStyle w:val="Default"/>
        <w:numPr>
          <w:ilvl w:val="0"/>
          <w:numId w:val="13"/>
        </w:numPr>
        <w:spacing w:line="276" w:lineRule="auto"/>
        <w:jc w:val="both"/>
        <w:rPr>
          <w:sz w:val="22"/>
          <w:szCs w:val="22"/>
        </w:rPr>
      </w:pPr>
      <w:r>
        <w:rPr>
          <w:sz w:val="22"/>
          <w:szCs w:val="22"/>
        </w:rPr>
        <w:t>A</w:t>
      </w:r>
      <w:r w:rsidR="004A7523">
        <w:rPr>
          <w:sz w:val="22"/>
          <w:szCs w:val="22"/>
        </w:rPr>
        <w:t xml:space="preserve"> summary of </w:t>
      </w:r>
      <w:r w:rsidR="00916DC0">
        <w:rPr>
          <w:sz w:val="22"/>
          <w:szCs w:val="22"/>
        </w:rPr>
        <w:t xml:space="preserve">investment firms’ </w:t>
      </w:r>
      <w:r w:rsidR="004A7523">
        <w:rPr>
          <w:sz w:val="22"/>
          <w:szCs w:val="22"/>
        </w:rPr>
        <w:t xml:space="preserve">analysis and conclusions </w:t>
      </w:r>
      <w:r w:rsidR="00164A18">
        <w:rPr>
          <w:sz w:val="22"/>
          <w:szCs w:val="22"/>
        </w:rPr>
        <w:t xml:space="preserve">on the quality of execution </w:t>
      </w:r>
      <w:r w:rsidR="00E2731D">
        <w:rPr>
          <w:sz w:val="22"/>
          <w:szCs w:val="22"/>
        </w:rPr>
        <w:t>obtained for all client orders</w:t>
      </w:r>
      <w:r w:rsidR="00916DC0">
        <w:rPr>
          <w:sz w:val="22"/>
          <w:szCs w:val="22"/>
        </w:rPr>
        <w:t xml:space="preserve"> executed</w:t>
      </w:r>
      <w:r w:rsidR="00E2731D">
        <w:rPr>
          <w:sz w:val="22"/>
          <w:szCs w:val="22"/>
        </w:rPr>
        <w:t xml:space="preserve"> in the previous year.</w:t>
      </w:r>
    </w:p>
    <w:p w14:paraId="47FF339C" w14:textId="77777777" w:rsidR="004A7523" w:rsidRDefault="004A7523" w:rsidP="00E2731D">
      <w:pPr>
        <w:pStyle w:val="Default"/>
        <w:spacing w:line="276" w:lineRule="auto"/>
        <w:ind w:left="780"/>
        <w:jc w:val="both"/>
        <w:rPr>
          <w:sz w:val="22"/>
          <w:szCs w:val="22"/>
        </w:rPr>
      </w:pPr>
    </w:p>
    <w:p w14:paraId="246BD0A6" w14:textId="77777777" w:rsidR="00164A18" w:rsidRPr="00D22E22" w:rsidRDefault="00164A18" w:rsidP="00D22E22">
      <w:pPr>
        <w:pStyle w:val="Default"/>
        <w:spacing w:line="276" w:lineRule="auto"/>
        <w:jc w:val="both"/>
        <w:rPr>
          <w:sz w:val="22"/>
          <w:szCs w:val="22"/>
        </w:rPr>
      </w:pPr>
    </w:p>
    <w:p w14:paraId="57303623" w14:textId="77777777" w:rsidR="0062481E" w:rsidRPr="00F36363" w:rsidRDefault="00916DC0"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t xml:space="preserve">Scope </w:t>
      </w:r>
    </w:p>
    <w:p w14:paraId="6F99C1A4" w14:textId="77777777" w:rsidR="00916DC0" w:rsidRDefault="00916DC0" w:rsidP="00916DC0">
      <w:pPr>
        <w:pStyle w:val="Default"/>
        <w:spacing w:line="276" w:lineRule="auto"/>
        <w:jc w:val="both"/>
        <w:rPr>
          <w:sz w:val="22"/>
          <w:szCs w:val="22"/>
        </w:rPr>
      </w:pPr>
    </w:p>
    <w:p w14:paraId="78A6A41D" w14:textId="77777777" w:rsidR="008773BD" w:rsidRPr="00F06631" w:rsidRDefault="00916DC0" w:rsidP="00916DC0">
      <w:pPr>
        <w:pStyle w:val="Default"/>
        <w:spacing w:line="276" w:lineRule="auto"/>
        <w:jc w:val="both"/>
        <w:rPr>
          <w:sz w:val="22"/>
          <w:szCs w:val="22"/>
        </w:rPr>
      </w:pPr>
      <w:r>
        <w:rPr>
          <w:sz w:val="22"/>
          <w:szCs w:val="22"/>
        </w:rPr>
        <w:t>This report</w:t>
      </w:r>
      <w:r w:rsidR="00A7246F">
        <w:rPr>
          <w:sz w:val="22"/>
          <w:szCs w:val="22"/>
        </w:rPr>
        <w:t xml:space="preserve"> </w:t>
      </w:r>
      <w:r w:rsidR="00064C0C">
        <w:rPr>
          <w:sz w:val="22"/>
          <w:szCs w:val="22"/>
        </w:rPr>
        <w:t xml:space="preserve">aims </w:t>
      </w:r>
      <w:r w:rsidR="00A7246F">
        <w:rPr>
          <w:sz w:val="22"/>
          <w:szCs w:val="22"/>
        </w:rPr>
        <w:t>to cover all</w:t>
      </w:r>
      <w:r>
        <w:rPr>
          <w:sz w:val="22"/>
          <w:szCs w:val="22"/>
        </w:rPr>
        <w:t xml:space="preserve"> </w:t>
      </w:r>
      <w:r w:rsidRPr="00E2731D">
        <w:rPr>
          <w:sz w:val="22"/>
          <w:szCs w:val="22"/>
        </w:rPr>
        <w:t xml:space="preserve">client orders executed </w:t>
      </w:r>
      <w:r w:rsidRPr="0023588A">
        <w:rPr>
          <w:sz w:val="22"/>
          <w:szCs w:val="22"/>
        </w:rPr>
        <w:t>on trading venues, system</w:t>
      </w:r>
      <w:r w:rsidR="007D0329">
        <w:rPr>
          <w:sz w:val="22"/>
          <w:szCs w:val="22"/>
        </w:rPr>
        <w:t>at</w:t>
      </w:r>
      <w:r w:rsidRPr="0023588A">
        <w:rPr>
          <w:sz w:val="22"/>
          <w:szCs w:val="22"/>
        </w:rPr>
        <w:t xml:space="preserve">ic </w:t>
      </w:r>
      <w:proofErr w:type="spellStart"/>
      <w:r w:rsidRPr="0023588A">
        <w:rPr>
          <w:sz w:val="22"/>
          <w:szCs w:val="22"/>
        </w:rPr>
        <w:t>internalisers</w:t>
      </w:r>
      <w:proofErr w:type="spellEnd"/>
      <w:r w:rsidRPr="0023588A">
        <w:rPr>
          <w:sz w:val="22"/>
          <w:szCs w:val="22"/>
        </w:rPr>
        <w:t xml:space="preserve">, </w:t>
      </w:r>
      <w:r w:rsidRPr="00F06631">
        <w:rPr>
          <w:sz w:val="22"/>
          <w:szCs w:val="22"/>
        </w:rPr>
        <w:t xml:space="preserve">market makers or other liquidity providers, or entities that perform a similar function in a third country. </w:t>
      </w:r>
    </w:p>
    <w:p w14:paraId="2BF2F056" w14:textId="77777777" w:rsidR="008773BD" w:rsidRPr="00F06631" w:rsidRDefault="008773BD" w:rsidP="00916DC0">
      <w:pPr>
        <w:pStyle w:val="Default"/>
        <w:spacing w:line="276" w:lineRule="auto"/>
        <w:jc w:val="both"/>
        <w:rPr>
          <w:sz w:val="22"/>
          <w:szCs w:val="22"/>
        </w:rPr>
      </w:pPr>
    </w:p>
    <w:p w14:paraId="21FADA34" w14:textId="77777777" w:rsidR="004D72F6" w:rsidRPr="00F06631" w:rsidRDefault="00064C0C" w:rsidP="00916DC0">
      <w:pPr>
        <w:pStyle w:val="Default"/>
        <w:spacing w:line="276" w:lineRule="auto"/>
        <w:jc w:val="both"/>
        <w:rPr>
          <w:sz w:val="22"/>
          <w:szCs w:val="22"/>
        </w:rPr>
      </w:pPr>
      <w:r>
        <w:rPr>
          <w:sz w:val="22"/>
          <w:szCs w:val="22"/>
        </w:rPr>
        <w:t xml:space="preserve">It is important to note that </w:t>
      </w:r>
      <w:r w:rsidR="00A7246F" w:rsidRPr="00F06631">
        <w:rPr>
          <w:sz w:val="22"/>
          <w:szCs w:val="22"/>
        </w:rPr>
        <w:t xml:space="preserve">Credit Agricole Corporate and Investment Bank </w:t>
      </w:r>
      <w:r w:rsidR="00112A70" w:rsidRPr="00F06631">
        <w:rPr>
          <w:sz w:val="22"/>
          <w:szCs w:val="22"/>
        </w:rPr>
        <w:t>transacts</w:t>
      </w:r>
      <w:r w:rsidR="00A7246F" w:rsidRPr="00F06631">
        <w:rPr>
          <w:sz w:val="22"/>
          <w:szCs w:val="22"/>
        </w:rPr>
        <w:t xml:space="preserve"> as dealer and trades directly against </w:t>
      </w:r>
      <w:r w:rsidR="004D72F6" w:rsidRPr="00F06631">
        <w:rPr>
          <w:sz w:val="22"/>
          <w:szCs w:val="22"/>
        </w:rPr>
        <w:t xml:space="preserve">the </w:t>
      </w:r>
      <w:r w:rsidR="00A7246F" w:rsidRPr="00F06631">
        <w:rPr>
          <w:sz w:val="22"/>
          <w:szCs w:val="22"/>
        </w:rPr>
        <w:t>client</w:t>
      </w:r>
      <w:r w:rsidR="004D72F6" w:rsidRPr="00F06631">
        <w:rPr>
          <w:sz w:val="22"/>
          <w:szCs w:val="22"/>
        </w:rPr>
        <w:t>,</w:t>
      </w:r>
      <w:r w:rsidR="00A7246F" w:rsidRPr="00F06631">
        <w:rPr>
          <w:sz w:val="22"/>
          <w:szCs w:val="22"/>
        </w:rPr>
        <w:t xml:space="preserve"> acting as principal and dealing on its own account. </w:t>
      </w:r>
      <w:r w:rsidR="00177613">
        <w:rPr>
          <w:sz w:val="22"/>
          <w:szCs w:val="22"/>
        </w:rPr>
        <w:t>Consequently</w:t>
      </w:r>
      <w:r w:rsidR="0011184C" w:rsidRPr="00F06631">
        <w:rPr>
          <w:sz w:val="22"/>
          <w:szCs w:val="22"/>
        </w:rPr>
        <w:t xml:space="preserve">, </w:t>
      </w:r>
      <w:r w:rsidR="00F92287">
        <w:rPr>
          <w:sz w:val="22"/>
          <w:szCs w:val="22"/>
        </w:rPr>
        <w:t>the firm is</w:t>
      </w:r>
      <w:r w:rsidR="0011184C" w:rsidRPr="00F06631">
        <w:rPr>
          <w:sz w:val="22"/>
          <w:szCs w:val="22"/>
        </w:rPr>
        <w:t xml:space="preserve"> the venue for execution of orders and the client’s counterparty. </w:t>
      </w:r>
      <w:r w:rsidR="00F92287" w:rsidRPr="00F06631">
        <w:rPr>
          <w:sz w:val="22"/>
          <w:szCs w:val="22"/>
        </w:rPr>
        <w:t xml:space="preserve">Credit Agricole Corporate and Investment Bank </w:t>
      </w:r>
      <w:r w:rsidR="0011184C" w:rsidRPr="004E15A9">
        <w:rPr>
          <w:sz w:val="22"/>
          <w:szCs w:val="22"/>
        </w:rPr>
        <w:t>use</w:t>
      </w:r>
      <w:r w:rsidR="00F92287">
        <w:rPr>
          <w:sz w:val="22"/>
          <w:szCs w:val="22"/>
        </w:rPr>
        <w:t>s its</w:t>
      </w:r>
      <w:r w:rsidR="0011184C" w:rsidRPr="004E15A9">
        <w:rPr>
          <w:sz w:val="22"/>
          <w:szCs w:val="22"/>
        </w:rPr>
        <w:t xml:space="preserve"> own internal sources of liquidity, for example by accessing liquidity providers for </w:t>
      </w:r>
      <w:r w:rsidR="00F92287">
        <w:rPr>
          <w:sz w:val="22"/>
          <w:szCs w:val="22"/>
        </w:rPr>
        <w:t>its</w:t>
      </w:r>
      <w:r w:rsidR="0011184C" w:rsidRPr="004E15A9">
        <w:rPr>
          <w:sz w:val="22"/>
          <w:szCs w:val="22"/>
        </w:rPr>
        <w:t xml:space="preserve"> own risk management. </w:t>
      </w:r>
      <w:r w:rsidR="0011184C" w:rsidRPr="00F06631">
        <w:rPr>
          <w:sz w:val="22"/>
          <w:szCs w:val="22"/>
        </w:rPr>
        <w:t xml:space="preserve">Moreover, Credit Agricole Corporate and Investment Bank will </w:t>
      </w:r>
      <w:r w:rsidR="008100FC">
        <w:rPr>
          <w:sz w:val="22"/>
          <w:szCs w:val="22"/>
        </w:rPr>
        <w:t>reduce</w:t>
      </w:r>
      <w:r w:rsidR="0011184C" w:rsidRPr="00F06631">
        <w:rPr>
          <w:sz w:val="22"/>
          <w:szCs w:val="22"/>
        </w:rPr>
        <w:t xml:space="preserve"> any potential market impact</w:t>
      </w:r>
      <w:r w:rsidR="008100FC">
        <w:rPr>
          <w:sz w:val="22"/>
          <w:szCs w:val="22"/>
        </w:rPr>
        <w:t xml:space="preserve">. </w:t>
      </w:r>
      <w:r w:rsidR="0011184C" w:rsidRPr="00F06631">
        <w:rPr>
          <w:sz w:val="22"/>
          <w:szCs w:val="22"/>
        </w:rPr>
        <w:t>For example, large order sizes will be split</w:t>
      </w:r>
      <w:r w:rsidR="008100FC">
        <w:rPr>
          <w:sz w:val="22"/>
          <w:szCs w:val="22"/>
        </w:rPr>
        <w:t xml:space="preserve"> before execution</w:t>
      </w:r>
      <w:r w:rsidR="0011184C" w:rsidRPr="00F06631">
        <w:rPr>
          <w:sz w:val="22"/>
          <w:szCs w:val="22"/>
        </w:rPr>
        <w:t xml:space="preserve"> in the market, while only one ticket will be executed between Credit Agricole Corporate and Investment Bank and the client.</w:t>
      </w:r>
    </w:p>
    <w:p w14:paraId="2F91B0E4" w14:textId="77777777" w:rsidR="004D72F6" w:rsidRPr="00F06631" w:rsidRDefault="004D72F6" w:rsidP="00916DC0">
      <w:pPr>
        <w:pStyle w:val="Default"/>
        <w:spacing w:line="276" w:lineRule="auto"/>
        <w:jc w:val="both"/>
        <w:rPr>
          <w:sz w:val="22"/>
          <w:szCs w:val="22"/>
        </w:rPr>
      </w:pPr>
    </w:p>
    <w:p w14:paraId="033BF6EB" w14:textId="77777777" w:rsidR="00F92287" w:rsidRDefault="004D72F6" w:rsidP="00F06631">
      <w:pPr>
        <w:autoSpaceDE w:val="0"/>
        <w:autoSpaceDN w:val="0"/>
        <w:adjustRightInd w:val="0"/>
        <w:spacing w:after="0"/>
        <w:jc w:val="both"/>
        <w:rPr>
          <w:rFonts w:ascii="Arial" w:hAnsi="Arial" w:cs="Arial"/>
        </w:rPr>
      </w:pPr>
      <w:r w:rsidRPr="00F06631">
        <w:rPr>
          <w:rFonts w:ascii="Arial" w:hAnsi="Arial" w:cs="Arial"/>
        </w:rPr>
        <w:t xml:space="preserve">Credit Agricole Corporate and Investment Bank </w:t>
      </w:r>
      <w:r w:rsidRPr="002B7D9F">
        <w:rPr>
          <w:rFonts w:ascii="Arial" w:hAnsi="Arial" w:cs="Arial"/>
        </w:rPr>
        <w:t xml:space="preserve">executes </w:t>
      </w:r>
      <w:r w:rsidR="001E4C9A" w:rsidRPr="002B7D9F">
        <w:rPr>
          <w:rFonts w:ascii="Arial" w:hAnsi="Arial" w:cs="Arial"/>
        </w:rPr>
        <w:t xml:space="preserve">client </w:t>
      </w:r>
      <w:r w:rsidRPr="002B7D9F">
        <w:rPr>
          <w:rFonts w:ascii="Arial" w:hAnsi="Arial" w:cs="Arial"/>
        </w:rPr>
        <w:t xml:space="preserve">orders as </w:t>
      </w:r>
      <w:r w:rsidR="007D0329" w:rsidRPr="002B7D9F">
        <w:rPr>
          <w:rFonts w:ascii="Arial" w:hAnsi="Arial" w:cs="Arial"/>
        </w:rPr>
        <w:t xml:space="preserve">systematic </w:t>
      </w:r>
      <w:proofErr w:type="spellStart"/>
      <w:r w:rsidR="007D0329" w:rsidRPr="002B7D9F">
        <w:rPr>
          <w:rFonts w:ascii="Arial" w:hAnsi="Arial" w:cs="Arial"/>
        </w:rPr>
        <w:t>i</w:t>
      </w:r>
      <w:r w:rsidRPr="002B7D9F">
        <w:rPr>
          <w:rFonts w:ascii="Arial" w:hAnsi="Arial" w:cs="Arial"/>
        </w:rPr>
        <w:t>nternaliser</w:t>
      </w:r>
      <w:proofErr w:type="spellEnd"/>
      <w:r w:rsidRPr="002B7D9F">
        <w:rPr>
          <w:rFonts w:ascii="Arial" w:hAnsi="Arial" w:cs="Arial"/>
        </w:rPr>
        <w:t xml:space="preserve"> for</w:t>
      </w:r>
      <w:r w:rsidR="008100FC" w:rsidRPr="002B7D9F">
        <w:rPr>
          <w:rFonts w:ascii="Arial" w:hAnsi="Arial" w:cs="Arial"/>
        </w:rPr>
        <w:t xml:space="preserve"> </w:t>
      </w:r>
      <w:r w:rsidR="00DA30C6" w:rsidRPr="002B7D9F">
        <w:rPr>
          <w:rFonts w:ascii="Arial" w:hAnsi="Arial" w:cs="Arial"/>
        </w:rPr>
        <w:t>debt in</w:t>
      </w:r>
      <w:r w:rsidR="001E4C9A" w:rsidRPr="002B7D9F">
        <w:rPr>
          <w:rFonts w:ascii="Arial" w:hAnsi="Arial" w:cs="Arial"/>
        </w:rPr>
        <w:t>s</w:t>
      </w:r>
      <w:r w:rsidR="00DA30C6" w:rsidRPr="002B7D9F">
        <w:rPr>
          <w:rFonts w:ascii="Arial" w:hAnsi="Arial" w:cs="Arial"/>
        </w:rPr>
        <w:t>truments, interest rate derivatives, currency derivatives</w:t>
      </w:r>
      <w:r w:rsidR="00E775F0" w:rsidRPr="002B7D9F">
        <w:rPr>
          <w:rFonts w:ascii="Arial" w:hAnsi="Arial" w:cs="Arial"/>
        </w:rPr>
        <w:t>, equity derivatives</w:t>
      </w:r>
      <w:r w:rsidR="007D0329" w:rsidRPr="002B7D9F">
        <w:rPr>
          <w:rFonts w:ascii="Arial" w:hAnsi="Arial" w:cs="Arial"/>
        </w:rPr>
        <w:t xml:space="preserve"> and</w:t>
      </w:r>
      <w:r w:rsidR="00DA30C6" w:rsidRPr="002B7D9F">
        <w:rPr>
          <w:rFonts w:ascii="Arial" w:hAnsi="Arial" w:cs="Arial"/>
        </w:rPr>
        <w:t xml:space="preserve"> structured finance instruments</w:t>
      </w:r>
      <w:r w:rsidR="004E15A9" w:rsidRPr="002B7D9F">
        <w:t>.</w:t>
      </w:r>
      <w:r w:rsidR="00F06631" w:rsidRPr="00F06631">
        <w:rPr>
          <w:rFonts w:ascii="Arial" w:hAnsi="Arial" w:cs="Arial"/>
        </w:rPr>
        <w:t xml:space="preserve"> </w:t>
      </w:r>
    </w:p>
    <w:p w14:paraId="2E7C51EA" w14:textId="77777777" w:rsidR="00F06631" w:rsidRPr="00D21B88" w:rsidRDefault="00F06631" w:rsidP="00F06631">
      <w:pPr>
        <w:autoSpaceDE w:val="0"/>
        <w:autoSpaceDN w:val="0"/>
        <w:adjustRightInd w:val="0"/>
        <w:spacing w:after="0"/>
        <w:jc w:val="both"/>
        <w:rPr>
          <w:rFonts w:ascii="Arial" w:hAnsi="Arial" w:cs="Arial"/>
        </w:rPr>
      </w:pPr>
    </w:p>
    <w:p w14:paraId="725F4EDB" w14:textId="77777777" w:rsidR="004D72F6" w:rsidRDefault="004D72F6" w:rsidP="00D22E22">
      <w:pPr>
        <w:pStyle w:val="Default"/>
        <w:spacing w:line="276" w:lineRule="auto"/>
        <w:jc w:val="both"/>
        <w:rPr>
          <w:color w:val="1F497D" w:themeColor="text2"/>
          <w:sz w:val="22"/>
          <w:szCs w:val="22"/>
        </w:rPr>
      </w:pPr>
    </w:p>
    <w:p w14:paraId="4D611807" w14:textId="77777777" w:rsidR="007A7726" w:rsidRDefault="007A7726" w:rsidP="007A7726">
      <w:pPr>
        <w:pStyle w:val="Default"/>
        <w:spacing w:line="276" w:lineRule="auto"/>
        <w:jc w:val="both"/>
        <w:rPr>
          <w:color w:val="1F497D" w:themeColor="text2"/>
          <w:sz w:val="22"/>
          <w:szCs w:val="22"/>
        </w:rPr>
      </w:pPr>
      <w:r>
        <w:rPr>
          <w:sz w:val="22"/>
          <w:szCs w:val="22"/>
        </w:rPr>
        <w:t xml:space="preserve">For the purposes of this section, please note that our answers apply to all classes of financial instruments as set out in Annex 1 of </w:t>
      </w:r>
      <w:r w:rsidRPr="00E2731D">
        <w:rPr>
          <w:sz w:val="22"/>
          <w:szCs w:val="22"/>
        </w:rPr>
        <w:t>De</w:t>
      </w:r>
      <w:r w:rsidRPr="0023588A">
        <w:rPr>
          <w:sz w:val="22"/>
          <w:szCs w:val="22"/>
        </w:rPr>
        <w:t>legated Regulation EU 2017/576</w:t>
      </w:r>
      <w:r>
        <w:rPr>
          <w:sz w:val="22"/>
          <w:szCs w:val="22"/>
        </w:rPr>
        <w:t xml:space="preserve">. </w:t>
      </w:r>
    </w:p>
    <w:p w14:paraId="20E390BF" w14:textId="77777777" w:rsidR="007A7726" w:rsidRDefault="007A7726" w:rsidP="00D22E22">
      <w:pPr>
        <w:pStyle w:val="Default"/>
        <w:spacing w:line="276" w:lineRule="auto"/>
        <w:jc w:val="both"/>
        <w:rPr>
          <w:color w:val="1F497D" w:themeColor="text2"/>
          <w:sz w:val="22"/>
          <w:szCs w:val="22"/>
        </w:rPr>
      </w:pPr>
    </w:p>
    <w:p w14:paraId="5534BECF" w14:textId="77777777" w:rsidR="002427F9" w:rsidRDefault="002427F9"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6388F9B7" w14:textId="77777777" w:rsidR="00F235FE"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18E0DE9D" w14:textId="77777777" w:rsidR="00F235FE" w:rsidRPr="005524C2"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05C8ED8D" w14:textId="77777777" w:rsidR="004D58EC" w:rsidRDefault="004D58EC" w:rsidP="004D58EC">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084DFCC3" w14:textId="77777777" w:rsidR="00825A7E" w:rsidRDefault="00825A7E">
      <w:pPr>
        <w:rPr>
          <w:rFonts w:asciiTheme="majorHAnsi" w:eastAsiaTheme="majorEastAsia" w:hAnsiTheme="majorHAnsi" w:cstheme="majorBidi"/>
          <w:b/>
          <w:bCs/>
          <w:color w:val="365F91" w:themeColor="accent1" w:themeShade="BF"/>
          <w:sz w:val="28"/>
          <w:szCs w:val="28"/>
          <w:lang w:val="en-US" w:eastAsia="ja-JP"/>
        </w:rPr>
      </w:pPr>
      <w:r>
        <w:rPr>
          <w:rFonts w:asciiTheme="majorHAnsi" w:eastAsiaTheme="majorEastAsia" w:hAnsiTheme="majorHAnsi" w:cstheme="majorBidi"/>
          <w:b/>
          <w:bCs/>
          <w:color w:val="365F91" w:themeColor="accent1" w:themeShade="BF"/>
          <w:sz w:val="28"/>
          <w:szCs w:val="28"/>
          <w:lang w:val="en-US" w:eastAsia="ja-JP"/>
        </w:rPr>
        <w:br w:type="page"/>
      </w:r>
    </w:p>
    <w:p w14:paraId="32E683B5" w14:textId="77777777" w:rsidR="004D72F6" w:rsidRPr="00076D9E" w:rsidRDefault="001E4C9A"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076D9E">
        <w:rPr>
          <w:rFonts w:asciiTheme="majorHAnsi" w:eastAsiaTheme="majorEastAsia" w:hAnsiTheme="majorHAnsi" w:cstheme="majorBidi"/>
          <w:b/>
          <w:bCs/>
          <w:color w:val="365F91" w:themeColor="accent1" w:themeShade="BF"/>
          <w:sz w:val="28"/>
          <w:szCs w:val="28"/>
          <w:lang w:val="en-US" w:eastAsia="ja-JP"/>
        </w:rPr>
        <w:lastRenderedPageBreak/>
        <w:t>Part I</w:t>
      </w:r>
      <w:r w:rsidR="00076D9E" w:rsidRPr="00076D9E">
        <w:rPr>
          <w:rFonts w:asciiTheme="majorHAnsi" w:eastAsiaTheme="majorEastAsia" w:hAnsiTheme="majorHAnsi" w:cstheme="majorBidi"/>
          <w:b/>
          <w:bCs/>
          <w:color w:val="365F91" w:themeColor="accent1" w:themeShade="BF"/>
          <w:sz w:val="28"/>
          <w:szCs w:val="28"/>
          <w:lang w:val="en-US" w:eastAsia="ja-JP"/>
        </w:rPr>
        <w:t>: The top five execution venues details</w:t>
      </w:r>
    </w:p>
    <w:p w14:paraId="50577970" w14:textId="77777777" w:rsidR="00076D9E" w:rsidRPr="00825A7E" w:rsidRDefault="00076D9E" w:rsidP="00076D9E">
      <w:pPr>
        <w:pStyle w:val="Default"/>
        <w:spacing w:line="276" w:lineRule="auto"/>
        <w:ind w:left="720"/>
        <w:jc w:val="both"/>
        <w:rPr>
          <w:rFonts w:asciiTheme="minorHAnsi" w:hAnsiTheme="minorHAnsi"/>
          <w:b/>
          <w:color w:val="002060"/>
          <w:sz w:val="28"/>
          <w:szCs w:val="28"/>
          <w:lang w:val="en-US"/>
        </w:rPr>
      </w:pPr>
    </w:p>
    <w:p w14:paraId="46DAB0DA" w14:textId="77777777" w:rsidR="004A7523"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executed </w:t>
      </w:r>
      <w:r w:rsidR="007D0329" w:rsidRPr="00076D9E">
        <w:rPr>
          <w:rFonts w:asciiTheme="majorHAnsi" w:eastAsiaTheme="majorEastAsia" w:hAnsiTheme="majorHAnsi" w:cstheme="majorBidi"/>
          <w:b/>
          <w:bCs/>
          <w:color w:val="365F91" w:themeColor="accent1" w:themeShade="BF"/>
          <w:szCs w:val="28"/>
          <w:lang w:val="en-US" w:eastAsia="ja-JP"/>
        </w:rPr>
        <w:t>Retail 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4EBF7C01" w14:textId="77777777" w:rsidR="00321F4B" w:rsidRDefault="00321F4B"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10288" w:type="dxa"/>
        <w:tblCellMar>
          <w:left w:w="70" w:type="dxa"/>
          <w:right w:w="70" w:type="dxa"/>
        </w:tblCellMar>
        <w:tblLook w:val="04A0" w:firstRow="1" w:lastRow="0" w:firstColumn="1" w:lastColumn="0" w:noHBand="0" w:noVBand="1"/>
      </w:tblPr>
      <w:tblGrid>
        <w:gridCol w:w="2547"/>
        <w:gridCol w:w="160"/>
        <w:gridCol w:w="1140"/>
        <w:gridCol w:w="1272"/>
        <w:gridCol w:w="263"/>
        <w:gridCol w:w="1096"/>
        <w:gridCol w:w="1270"/>
        <w:gridCol w:w="1270"/>
        <w:gridCol w:w="1270"/>
      </w:tblGrid>
      <w:tr w:rsidR="009C0A77" w:rsidRPr="009C0A77" w14:paraId="0C513E0B" w14:textId="77777777" w:rsidTr="009C0A77">
        <w:trPr>
          <w:gridAfter w:val="1"/>
          <w:wAfter w:w="1270" w:type="dxa"/>
          <w:trHeight w:val="8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FBEEC6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A8145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C0A77" w:rsidRPr="009C0A77" w14:paraId="00E0F74E" w14:textId="77777777" w:rsidTr="009C0A77">
        <w:trPr>
          <w:gridAfter w:val="1"/>
          <w:wAfter w:w="1270"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3C5DE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8F598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C56A008" w14:textId="77777777" w:rsidTr="009C0A77">
        <w:trPr>
          <w:gridAfter w:val="1"/>
          <w:wAfter w:w="1270" w:type="dxa"/>
          <w:trHeight w:val="2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17C0E5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1F3E7FB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BB559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373F354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0EEB5A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5FFAB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72D1AEB9"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246463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6D00C1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50FF348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698F4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7EFC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05002D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4ADEC000" w14:textId="77777777" w:rsidTr="009C0A77">
        <w:trPr>
          <w:trHeight w:val="227"/>
        </w:trPr>
        <w:tc>
          <w:tcPr>
            <w:tcW w:w="2547" w:type="dxa"/>
            <w:tcBorders>
              <w:top w:val="nil"/>
              <w:left w:val="nil"/>
              <w:bottom w:val="nil"/>
              <w:right w:val="nil"/>
            </w:tcBorders>
            <w:shd w:val="clear" w:color="auto" w:fill="auto"/>
            <w:noWrap/>
            <w:vAlign w:val="center"/>
          </w:tcPr>
          <w:p w14:paraId="7128E2D2" w14:textId="77777777" w:rsidR="009C0A77" w:rsidRPr="009C0A77" w:rsidRDefault="009C0A77" w:rsidP="009C0A77">
            <w:pPr>
              <w:spacing w:after="0" w:line="240" w:lineRule="auto"/>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tcPr>
          <w:p w14:paraId="4892769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tcPr>
          <w:p w14:paraId="35DD6DA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tcPr>
          <w:p w14:paraId="0AC3985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0CB86687"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941F48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24DB9D4"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598C7125"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E788C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B2F5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Currency derivatives / swaps, Forwards, and other Currency Derivatives</w:t>
            </w:r>
          </w:p>
        </w:tc>
      </w:tr>
      <w:tr w:rsidR="009C0A77" w:rsidRPr="009C0A77" w14:paraId="3403BFC7" w14:textId="77777777" w:rsidTr="009C0A77">
        <w:trPr>
          <w:gridAfter w:val="1"/>
          <w:wAfter w:w="1270" w:type="dxa"/>
          <w:trHeight w:val="1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BDD70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939A88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214E88EE" w14:textId="77777777" w:rsidTr="009C0A77">
        <w:trPr>
          <w:gridAfter w:val="1"/>
          <w:wAfter w:w="1270" w:type="dxa"/>
          <w:trHeight w:val="1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E102B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693132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1F6ADEB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1EF15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C1CB0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63A08D0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02E6099" w14:textId="77777777" w:rsidTr="009C0A77">
        <w:trPr>
          <w:gridAfter w:val="1"/>
          <w:wAfter w:w="1270" w:type="dxa"/>
          <w:trHeight w:val="151"/>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E7C7F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2EEF65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646E515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340EC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3272E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13382D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5D3034A3" w14:textId="77777777" w:rsidTr="009C0A77">
        <w:trPr>
          <w:trHeight w:val="227"/>
        </w:trPr>
        <w:tc>
          <w:tcPr>
            <w:tcW w:w="2547" w:type="dxa"/>
            <w:tcBorders>
              <w:top w:val="nil"/>
              <w:left w:val="nil"/>
              <w:bottom w:val="nil"/>
              <w:right w:val="nil"/>
            </w:tcBorders>
            <w:shd w:val="clear" w:color="auto" w:fill="auto"/>
            <w:noWrap/>
            <w:vAlign w:val="center"/>
            <w:hideMark/>
          </w:tcPr>
          <w:p w14:paraId="2E3C8ACD"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63A59D4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6390BA6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424D334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26B412E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5466DB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59EC66C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03F0A9CB"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60489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11CD1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Bonds and others Debt instruments</w:t>
            </w:r>
          </w:p>
        </w:tc>
      </w:tr>
      <w:tr w:rsidR="009C0A77" w:rsidRPr="009C0A77" w14:paraId="6DE9121A" w14:textId="77777777" w:rsidTr="009C0A77">
        <w:trPr>
          <w:gridAfter w:val="1"/>
          <w:wAfter w:w="1270" w:type="dxa"/>
          <w:trHeight w:val="9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AE72C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9758E8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0B62F309" w14:textId="77777777" w:rsidTr="009C0A77">
        <w:trPr>
          <w:gridAfter w:val="1"/>
          <w:wAfter w:w="1270" w:type="dxa"/>
          <w:trHeight w:val="14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1685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B3D2B5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4B4347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04CC7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1C968A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5640B4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525A9A9"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2461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E186F9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1A7E08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2211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66036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BF22FE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2004D065" w14:textId="77777777" w:rsidTr="009C0A77">
        <w:trPr>
          <w:trHeight w:val="227"/>
        </w:trPr>
        <w:tc>
          <w:tcPr>
            <w:tcW w:w="2547" w:type="dxa"/>
            <w:tcBorders>
              <w:top w:val="nil"/>
              <w:left w:val="nil"/>
              <w:bottom w:val="nil"/>
              <w:right w:val="nil"/>
            </w:tcBorders>
            <w:shd w:val="clear" w:color="auto" w:fill="auto"/>
            <w:noWrap/>
            <w:vAlign w:val="center"/>
            <w:hideMark/>
          </w:tcPr>
          <w:p w14:paraId="10EA76F6"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0DE2888C"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469D19C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13F2ECF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9799B5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794A449B"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3136D7E2"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7391FB7C"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B7D9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ACF08D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Equity Derivatives / Options, Futures, Swap and Other Equity Derivatives</w:t>
            </w:r>
          </w:p>
        </w:tc>
      </w:tr>
      <w:tr w:rsidR="009C0A77" w:rsidRPr="009C0A77" w14:paraId="73B8867E" w14:textId="77777777" w:rsidTr="009C0A77">
        <w:trPr>
          <w:gridAfter w:val="1"/>
          <w:wAfter w:w="1270" w:type="dxa"/>
          <w:trHeight w:val="20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69C1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6E3EA12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10C2AB9F" w14:textId="77777777" w:rsidTr="009C0A77">
        <w:trPr>
          <w:gridAfter w:val="1"/>
          <w:wAfter w:w="1270" w:type="dxa"/>
          <w:trHeight w:val="26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90C746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DDA6B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F4DD24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7887AC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9DA284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148611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782C633" w14:textId="77777777" w:rsidTr="009C0A77">
        <w:trPr>
          <w:gridAfter w:val="1"/>
          <w:wAfter w:w="1270" w:type="dxa"/>
          <w:trHeight w:val="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9F9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587C6F5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38C84B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0540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F91B1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35964F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631FCCF4" w14:textId="77777777" w:rsidTr="009C0A77">
        <w:trPr>
          <w:trHeight w:val="227"/>
        </w:trPr>
        <w:tc>
          <w:tcPr>
            <w:tcW w:w="2547" w:type="dxa"/>
            <w:tcBorders>
              <w:top w:val="nil"/>
              <w:left w:val="nil"/>
              <w:bottom w:val="nil"/>
              <w:right w:val="nil"/>
            </w:tcBorders>
            <w:shd w:val="clear" w:color="auto" w:fill="auto"/>
            <w:noWrap/>
            <w:vAlign w:val="center"/>
            <w:hideMark/>
          </w:tcPr>
          <w:p w14:paraId="3EFA5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2536853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37A050E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C4BF52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9078C3E"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19BE22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44055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AD4179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606A3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7C8BB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Structured</w:t>
            </w:r>
            <w:proofErr w:type="spellEnd"/>
            <w:r w:rsidRPr="009C0A77">
              <w:rPr>
                <w:rFonts w:ascii="Times New Roman" w:eastAsia="Times New Roman" w:hAnsi="Times New Roman" w:cs="Times New Roman"/>
                <w:color w:val="000000"/>
                <w:sz w:val="14"/>
                <w:szCs w:val="14"/>
                <w:lang w:val="fr-FR" w:eastAsia="ja-JP"/>
              </w:rPr>
              <w:t xml:space="preserve"> Finance Instruments</w:t>
            </w:r>
          </w:p>
        </w:tc>
      </w:tr>
      <w:tr w:rsidR="009C0A77" w:rsidRPr="009C0A77" w14:paraId="4B593C33"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99C3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6ED5EC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A2FF8B7"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675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4C79F4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DA0008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7E41211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39F7ED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8D1F85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6206C3A"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6574A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838DAE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483368A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437F9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738401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A3E611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2D86C92" w14:textId="77777777" w:rsidTr="009F64EC">
        <w:trPr>
          <w:trHeight w:val="227"/>
        </w:trPr>
        <w:tc>
          <w:tcPr>
            <w:tcW w:w="2547" w:type="dxa"/>
            <w:tcBorders>
              <w:top w:val="nil"/>
              <w:left w:val="nil"/>
              <w:bottom w:val="nil"/>
              <w:right w:val="nil"/>
            </w:tcBorders>
            <w:shd w:val="clear" w:color="auto" w:fill="auto"/>
            <w:noWrap/>
            <w:vAlign w:val="center"/>
          </w:tcPr>
          <w:p w14:paraId="14E4CCFB" w14:textId="77777777" w:rsidR="009C0A77" w:rsidRPr="009C0A77" w:rsidRDefault="009C0A77" w:rsidP="009C0A77">
            <w:pPr>
              <w:spacing w:after="0" w:line="240" w:lineRule="auto"/>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tcPr>
          <w:p w14:paraId="28987FD8"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tcPr>
          <w:p w14:paraId="7D6D3FF5"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tcPr>
          <w:p w14:paraId="633B86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DA696E1"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AF7420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AABFB6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2D4F384"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7805A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7CFB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C0A77" w:rsidRPr="009C0A77" w14:paraId="50766699" w14:textId="77777777" w:rsidTr="009C0A77">
        <w:trPr>
          <w:gridAfter w:val="1"/>
          <w:wAfter w:w="1270" w:type="dxa"/>
          <w:trHeight w:val="9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E8EEC1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4C03FFB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FFE068F"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94AE8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79BBE1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7C4AD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F3669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57E29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40A73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0F476D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F4E8EF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73CF6C9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778625B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629C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2244A8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54C736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12FB8F3D" w14:textId="77777777" w:rsidTr="009C0A77">
        <w:trPr>
          <w:trHeight w:val="227"/>
        </w:trPr>
        <w:tc>
          <w:tcPr>
            <w:tcW w:w="2547" w:type="dxa"/>
            <w:tcBorders>
              <w:top w:val="nil"/>
              <w:left w:val="nil"/>
              <w:bottom w:val="nil"/>
              <w:right w:val="nil"/>
            </w:tcBorders>
            <w:shd w:val="clear" w:color="auto" w:fill="auto"/>
            <w:noWrap/>
            <w:vAlign w:val="center"/>
            <w:hideMark/>
          </w:tcPr>
          <w:p w14:paraId="2D7FB4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17404F0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1924027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57FDABD"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64F7450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D1FD22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48CD9C8C"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29005E6F"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7B2CB9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0139FF3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bonds underlying)</w:t>
            </w:r>
          </w:p>
        </w:tc>
      </w:tr>
      <w:tr w:rsidR="009C0A77" w:rsidRPr="009C0A77" w14:paraId="2765E3D7"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E339B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6CDE4E1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4C854E60"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AE282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2EB548B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7BB32A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6A06E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359720A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01CDBAD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17A59CA7" w14:textId="77777777" w:rsidTr="009C0A77">
        <w:trPr>
          <w:gridAfter w:val="1"/>
          <w:wAfter w:w="1270" w:type="dxa"/>
          <w:trHeight w:val="315"/>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311CA0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lastRenderedPageBreak/>
              <w:t>CREDIT AGRICOLE CIB (1VUV7VQFKUOQSJ21A208)</w:t>
            </w:r>
          </w:p>
        </w:tc>
        <w:tc>
          <w:tcPr>
            <w:tcW w:w="1300" w:type="dxa"/>
            <w:gridSpan w:val="2"/>
            <w:tcBorders>
              <w:top w:val="nil"/>
              <w:left w:val="nil"/>
              <w:bottom w:val="nil"/>
              <w:right w:val="single" w:sz="4" w:space="0" w:color="auto"/>
            </w:tcBorders>
            <w:shd w:val="clear" w:color="000000" w:fill="FFFFFF"/>
            <w:vAlign w:val="center"/>
            <w:hideMark/>
          </w:tcPr>
          <w:p w14:paraId="323DA7C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nil"/>
              <w:right w:val="single" w:sz="4" w:space="0" w:color="auto"/>
            </w:tcBorders>
            <w:shd w:val="clear" w:color="000000" w:fill="FFFFFF"/>
            <w:vAlign w:val="center"/>
            <w:hideMark/>
          </w:tcPr>
          <w:p w14:paraId="0259301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nil"/>
              <w:right w:val="single" w:sz="4" w:space="0" w:color="auto"/>
            </w:tcBorders>
            <w:shd w:val="clear" w:color="000000" w:fill="FFFFFF"/>
            <w:noWrap/>
            <w:vAlign w:val="center"/>
            <w:hideMark/>
          </w:tcPr>
          <w:p w14:paraId="3295C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364C2B2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231FD7C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AFD0C4C" w14:textId="77777777" w:rsidTr="009C0A77">
        <w:trPr>
          <w:gridAfter w:val="1"/>
          <w:wAfter w:w="1270" w:type="dxa"/>
          <w:trHeight w:val="300"/>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47775E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8" w:space="0" w:color="auto"/>
              <w:left w:val="nil"/>
              <w:bottom w:val="single" w:sz="4" w:space="0" w:color="auto"/>
              <w:right w:val="single" w:sz="4" w:space="0" w:color="auto"/>
            </w:tcBorders>
            <w:shd w:val="clear" w:color="000000" w:fill="FFFFFF"/>
            <w:vAlign w:val="center"/>
            <w:hideMark/>
          </w:tcPr>
          <w:p w14:paraId="496B789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equity underlying)</w:t>
            </w:r>
          </w:p>
        </w:tc>
      </w:tr>
      <w:tr w:rsidR="009C0A77" w:rsidRPr="009C0A77" w14:paraId="1E8382FE"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8CD8D3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20B0178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1DC5856"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64501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1062B9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3670DE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1D1B4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2EAD266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43A5FC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9450D52"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35B80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60E0D34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2C155D1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000000" w:fill="FFFFFF"/>
            <w:noWrap/>
            <w:vAlign w:val="center"/>
            <w:hideMark/>
          </w:tcPr>
          <w:p w14:paraId="4AA164E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2CA9673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79EA36C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bl>
    <w:p w14:paraId="2304FFEB" w14:textId="5104F745" w:rsidR="00575B23" w:rsidRPr="00076D9E" w:rsidRDefault="00575B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11DA8DC6" w14:textId="77777777" w:rsidR="00781861" w:rsidRDefault="004A7523"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w:t>
      </w:r>
      <w:r w:rsidR="007D0329" w:rsidRPr="00076D9E">
        <w:rPr>
          <w:rFonts w:asciiTheme="majorHAnsi" w:eastAsiaTheme="majorEastAsia" w:hAnsiTheme="majorHAnsi" w:cstheme="majorBidi"/>
          <w:b/>
          <w:bCs/>
          <w:color w:val="365F91" w:themeColor="accent1" w:themeShade="BF"/>
          <w:szCs w:val="28"/>
          <w:lang w:val="en-US" w:eastAsia="ja-JP"/>
        </w:rPr>
        <w:t xml:space="preserve">executed </w:t>
      </w:r>
      <w:r w:rsidRPr="00076D9E">
        <w:rPr>
          <w:rFonts w:asciiTheme="majorHAnsi" w:eastAsiaTheme="majorEastAsia" w:hAnsiTheme="majorHAnsi" w:cstheme="majorBidi"/>
          <w:b/>
          <w:bCs/>
          <w:color w:val="365F91" w:themeColor="accent1" w:themeShade="BF"/>
          <w:szCs w:val="28"/>
          <w:lang w:val="en-US" w:eastAsia="ja-JP"/>
        </w:rPr>
        <w:t xml:space="preserve">Professional </w:t>
      </w:r>
      <w:r w:rsidR="007D0329" w:rsidRPr="00076D9E">
        <w:rPr>
          <w:rFonts w:asciiTheme="majorHAnsi" w:eastAsiaTheme="majorEastAsia" w:hAnsiTheme="majorHAnsi" w:cstheme="majorBidi"/>
          <w:b/>
          <w:bCs/>
          <w:color w:val="365F91" w:themeColor="accent1" w:themeShade="BF"/>
          <w:szCs w:val="28"/>
          <w:lang w:val="en-US" w:eastAsia="ja-JP"/>
        </w:rPr>
        <w:t>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087DAFA3" w14:textId="77777777" w:rsidR="00781861" w:rsidRDefault="00781861"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9706" w:type="dxa"/>
        <w:tblLayout w:type="fixed"/>
        <w:tblCellMar>
          <w:left w:w="70" w:type="dxa"/>
          <w:right w:w="70" w:type="dxa"/>
        </w:tblCellMar>
        <w:tblLook w:val="04A0" w:firstRow="1" w:lastRow="0" w:firstColumn="1" w:lastColumn="0" w:noHBand="0" w:noVBand="1"/>
      </w:tblPr>
      <w:tblGrid>
        <w:gridCol w:w="2547"/>
        <w:gridCol w:w="1276"/>
        <w:gridCol w:w="1417"/>
        <w:gridCol w:w="160"/>
        <w:gridCol w:w="1116"/>
        <w:gridCol w:w="256"/>
        <w:gridCol w:w="160"/>
        <w:gridCol w:w="860"/>
        <w:gridCol w:w="639"/>
        <w:gridCol w:w="636"/>
        <w:gridCol w:w="639"/>
      </w:tblGrid>
      <w:tr w:rsidR="0091394E" w:rsidRPr="00C172A2" w14:paraId="163326AD" w14:textId="77777777" w:rsidTr="0091394E">
        <w:trPr>
          <w:gridAfter w:val="1"/>
          <w:wAfter w:w="639" w:type="dxa"/>
          <w:trHeight w:val="15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87CECD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3B9675D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1394E" w:rsidRPr="00C172A2" w14:paraId="67B1755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5F7A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40E9E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520E03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EEFC1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4490F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31DA62B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208D76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83B44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24C999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C10BCC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46A6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67CB3B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59086E1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374620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12E1F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12F3BA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2433D67D"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7926035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425B140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3B1C5D0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29EBD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4549CBE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3B20689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5590C2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4DE4EB6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8343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7CB885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Currency derivatives / swaps, Forwards, and other Currency Derivatives</w:t>
            </w:r>
          </w:p>
        </w:tc>
      </w:tr>
      <w:tr w:rsidR="0091394E" w:rsidRPr="00C172A2" w14:paraId="0A8A3DE2" w14:textId="77777777" w:rsidTr="0091394E">
        <w:trPr>
          <w:gridAfter w:val="1"/>
          <w:wAfter w:w="639" w:type="dxa"/>
          <w:trHeight w:val="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22727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13359B0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E72165D" w14:textId="77777777" w:rsidTr="0091394E">
        <w:trPr>
          <w:gridAfter w:val="1"/>
          <w:wAfter w:w="639"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474B9C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3D06F2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4E9FC2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61EFEE2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C8F56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31F0D04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26408F0"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9D0FC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16BDC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01E4F27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73613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00A71F0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65E154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49E25E87"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52B795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7F3E05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11F1A400"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7E2D514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B94740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7934ED6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7E84DB6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367DA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C5145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4F62E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Bonds and others Debt instruments</w:t>
            </w:r>
          </w:p>
        </w:tc>
      </w:tr>
      <w:tr w:rsidR="0091394E" w:rsidRPr="00C172A2" w14:paraId="2E881E63"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22850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F92D1D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1A2AAEB"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7027F2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5D5B89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231656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B067B7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32BB4C5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566B68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3A5E9B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3E1E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467DF70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697A32B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FF85D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461FAC4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482237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F82ADFC"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6F034FE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D1DC6A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A5BF90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56D1FB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667773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2A5565D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2931331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295E3BA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3597D3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0B2519D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Equity Derivatives / Options, Futures, Swap and Other Equity Derivatives</w:t>
            </w:r>
          </w:p>
        </w:tc>
      </w:tr>
      <w:tr w:rsidR="0091394E" w:rsidRPr="00C172A2" w14:paraId="70C30B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F2365F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C0C591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5D3AF5C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58F55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6E1E88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03A2704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09BA9A4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56BD76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3D64C08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0256EB31"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F39B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18E225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54C77D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04145C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1C21BE2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5588F61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A6529EF" w14:textId="77777777" w:rsidTr="0091394E">
        <w:trPr>
          <w:trHeight w:val="227"/>
        </w:trPr>
        <w:tc>
          <w:tcPr>
            <w:tcW w:w="3823" w:type="dxa"/>
            <w:gridSpan w:val="2"/>
            <w:tcBorders>
              <w:top w:val="nil"/>
              <w:left w:val="nil"/>
              <w:bottom w:val="nil"/>
              <w:right w:val="nil"/>
            </w:tcBorders>
            <w:shd w:val="clear" w:color="000000" w:fill="FFFFFF"/>
            <w:noWrap/>
            <w:vAlign w:val="center"/>
            <w:hideMark/>
          </w:tcPr>
          <w:p w14:paraId="5B8967C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17" w:type="dxa"/>
            <w:tcBorders>
              <w:top w:val="nil"/>
              <w:left w:val="nil"/>
              <w:bottom w:val="nil"/>
              <w:right w:val="nil"/>
            </w:tcBorders>
            <w:shd w:val="clear" w:color="000000" w:fill="FFFFFF"/>
            <w:noWrap/>
            <w:vAlign w:val="center"/>
            <w:hideMark/>
          </w:tcPr>
          <w:p w14:paraId="41601BB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F14DA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372" w:type="dxa"/>
            <w:gridSpan w:val="2"/>
            <w:tcBorders>
              <w:top w:val="nil"/>
              <w:left w:val="nil"/>
              <w:bottom w:val="nil"/>
              <w:right w:val="nil"/>
            </w:tcBorders>
            <w:shd w:val="clear" w:color="000000" w:fill="FFFFFF"/>
            <w:noWrap/>
            <w:vAlign w:val="center"/>
            <w:hideMark/>
          </w:tcPr>
          <w:p w14:paraId="7E04E8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D5BDC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99" w:type="dxa"/>
            <w:gridSpan w:val="2"/>
            <w:tcBorders>
              <w:top w:val="nil"/>
              <w:left w:val="nil"/>
              <w:bottom w:val="nil"/>
              <w:right w:val="nil"/>
            </w:tcBorders>
            <w:shd w:val="clear" w:color="000000" w:fill="FFFFFF"/>
            <w:noWrap/>
            <w:vAlign w:val="center"/>
            <w:hideMark/>
          </w:tcPr>
          <w:p w14:paraId="68370B2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275" w:type="dxa"/>
            <w:gridSpan w:val="2"/>
            <w:tcBorders>
              <w:top w:val="nil"/>
              <w:left w:val="nil"/>
              <w:bottom w:val="nil"/>
              <w:right w:val="nil"/>
            </w:tcBorders>
            <w:shd w:val="clear" w:color="000000" w:fill="FFFFFF"/>
            <w:noWrap/>
            <w:vAlign w:val="center"/>
            <w:hideMark/>
          </w:tcPr>
          <w:p w14:paraId="22B37A3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r>
      <w:tr w:rsidR="0091394E" w:rsidRPr="00C172A2" w14:paraId="2538A4AC"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06A35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77B63C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Structured</w:t>
            </w:r>
            <w:proofErr w:type="spellEnd"/>
            <w:r w:rsidRPr="00C172A2">
              <w:rPr>
                <w:rFonts w:ascii="Times New Roman" w:eastAsia="Times New Roman" w:hAnsi="Times New Roman" w:cs="Times New Roman"/>
                <w:color w:val="000000"/>
                <w:sz w:val="14"/>
                <w:szCs w:val="14"/>
                <w:lang w:val="fr-FR" w:eastAsia="ja-JP"/>
              </w:rPr>
              <w:t xml:space="preserve"> Finance Instruments</w:t>
            </w:r>
          </w:p>
        </w:tc>
      </w:tr>
      <w:tr w:rsidR="0091394E" w:rsidRPr="00C172A2" w14:paraId="151D43E1" w14:textId="77777777" w:rsidTr="008F6EB8">
        <w:trPr>
          <w:gridAfter w:val="1"/>
          <w:wAfter w:w="639" w:type="dxa"/>
          <w:trHeight w:val="171"/>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9121F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7438A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3C4EB3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C1C00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9F12D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0467A63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1760E8C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7BCF98E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662991A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A75398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4805E0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1BA3B2C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720DF7F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CEDEA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6E4D57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8128B4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10CABCA3"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2E2C75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A9C66C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5D1FEAC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C7E081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A093E9B"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4FB3C1DC"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3E20F10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6200EDF7"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CB363B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1904A37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1394E" w:rsidRPr="00C172A2" w14:paraId="04A8341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B60AB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5AC64D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3F1D25B9" w14:textId="77777777" w:rsidTr="0091394E">
        <w:trPr>
          <w:gridAfter w:val="1"/>
          <w:wAfter w:w="639" w:type="dxa"/>
          <w:trHeight w:val="13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E362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559A82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5B94C0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7496A60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526D29B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40E57DF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39260AD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3CF34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294D2F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1110EE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1A582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5588FDD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37EF91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381B93E5"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0379E79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6B75D41"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381840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B3768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1D725D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15D341D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4915FF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5B0C95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059A2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lastRenderedPageBreak/>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2F6809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bonds underlying)</w:t>
            </w:r>
          </w:p>
        </w:tc>
      </w:tr>
      <w:tr w:rsidR="0091394E" w:rsidRPr="00C172A2" w14:paraId="3F56404F"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292BA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587C9B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37ABDAA8" w14:textId="77777777" w:rsidTr="0091394E">
        <w:trPr>
          <w:gridAfter w:val="1"/>
          <w:wAfter w:w="639" w:type="dxa"/>
          <w:trHeight w:val="119"/>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AEDDBB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421293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5DBB4D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59DA5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3BF354C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010854D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3D8D8F6E" w14:textId="77777777" w:rsidTr="0091394E">
        <w:trPr>
          <w:gridAfter w:val="1"/>
          <w:wAfter w:w="639" w:type="dxa"/>
          <w:trHeight w:val="53"/>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56F01F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nil"/>
              <w:right w:val="single" w:sz="4" w:space="0" w:color="auto"/>
            </w:tcBorders>
            <w:shd w:val="clear" w:color="000000" w:fill="FFFFFF"/>
            <w:vAlign w:val="center"/>
            <w:hideMark/>
          </w:tcPr>
          <w:p w14:paraId="55084B1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nil"/>
              <w:right w:val="single" w:sz="4" w:space="0" w:color="auto"/>
            </w:tcBorders>
            <w:shd w:val="clear" w:color="000000" w:fill="FFFFFF"/>
            <w:vAlign w:val="center"/>
            <w:hideMark/>
          </w:tcPr>
          <w:p w14:paraId="3A354F7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nil"/>
              <w:right w:val="single" w:sz="4" w:space="0" w:color="auto"/>
            </w:tcBorders>
            <w:shd w:val="clear" w:color="000000" w:fill="FFFFFF"/>
            <w:noWrap/>
            <w:vAlign w:val="center"/>
            <w:hideMark/>
          </w:tcPr>
          <w:p w14:paraId="2A36D5E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nil"/>
              <w:right w:val="single" w:sz="4" w:space="0" w:color="auto"/>
            </w:tcBorders>
            <w:shd w:val="clear" w:color="000000" w:fill="FFFFFF"/>
            <w:noWrap/>
            <w:vAlign w:val="center"/>
            <w:hideMark/>
          </w:tcPr>
          <w:p w14:paraId="14B9164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nil"/>
              <w:right w:val="single" w:sz="4" w:space="0" w:color="auto"/>
            </w:tcBorders>
            <w:shd w:val="clear" w:color="000000" w:fill="FFFFFF"/>
            <w:noWrap/>
            <w:vAlign w:val="center"/>
            <w:hideMark/>
          </w:tcPr>
          <w:p w14:paraId="1B9851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91394E" w:rsidRPr="00C172A2" w14:paraId="117BAACC" w14:textId="77777777" w:rsidTr="008F6EB8">
        <w:trPr>
          <w:gridAfter w:val="1"/>
          <w:wAfter w:w="639" w:type="dxa"/>
          <w:trHeight w:val="43"/>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7AC43D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8" w:space="0" w:color="auto"/>
              <w:left w:val="nil"/>
              <w:bottom w:val="single" w:sz="4" w:space="0" w:color="auto"/>
              <w:right w:val="single" w:sz="4" w:space="0" w:color="auto"/>
            </w:tcBorders>
            <w:shd w:val="clear" w:color="000000" w:fill="FFFFFF"/>
            <w:vAlign w:val="center"/>
            <w:hideMark/>
          </w:tcPr>
          <w:p w14:paraId="5586050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equity underlying)</w:t>
            </w:r>
          </w:p>
        </w:tc>
      </w:tr>
      <w:tr w:rsidR="0091394E" w:rsidRPr="00C172A2" w14:paraId="688DBE73" w14:textId="77777777" w:rsidTr="008F6EB8">
        <w:trPr>
          <w:gridAfter w:val="1"/>
          <w:wAfter w:w="639" w:type="dxa"/>
          <w:trHeight w:val="8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05412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4443653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1F83D919" w14:textId="77777777" w:rsidTr="008F6EB8">
        <w:trPr>
          <w:gridAfter w:val="1"/>
          <w:wAfter w:w="639" w:type="dxa"/>
          <w:trHeight w:val="18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D01DB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B10CA7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7E3376D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1763FB7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71B1DAF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4F2A296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21956F7F" w14:textId="77777777" w:rsidTr="008F6EB8">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2C44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D57AF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07F101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43C7C1E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616622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26518C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bl>
    <w:p w14:paraId="58C7B75C" w14:textId="191256EF" w:rsidR="00351522" w:rsidRPr="00321F4B" w:rsidRDefault="00351522"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00D238A4" w14:textId="77777777" w:rsidR="004A7523" w:rsidRPr="00076D9E"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w:t>
      </w:r>
      <w:r w:rsidR="00033CAC" w:rsidRPr="00076D9E">
        <w:rPr>
          <w:rFonts w:asciiTheme="majorHAnsi" w:eastAsiaTheme="majorEastAsia" w:hAnsiTheme="majorHAnsi" w:cstheme="majorBidi"/>
          <w:b/>
          <w:bCs/>
          <w:color w:val="365F91" w:themeColor="accent1" w:themeShade="BF"/>
          <w:szCs w:val="28"/>
          <w:lang w:val="en-US" w:eastAsia="ja-JP"/>
        </w:rPr>
        <w:t xml:space="preserve">in terms of trading volumes for </w:t>
      </w:r>
      <w:r w:rsidR="00A7246F" w:rsidRPr="00076D9E">
        <w:rPr>
          <w:rFonts w:asciiTheme="majorHAnsi" w:eastAsiaTheme="majorEastAsia" w:hAnsiTheme="majorHAnsi" w:cstheme="majorBidi"/>
          <w:b/>
          <w:bCs/>
          <w:color w:val="365F91" w:themeColor="accent1" w:themeShade="BF"/>
          <w:szCs w:val="28"/>
          <w:lang w:val="en-US" w:eastAsia="ja-JP"/>
        </w:rPr>
        <w:t xml:space="preserve">all executed client orders in </w:t>
      </w:r>
      <w:r w:rsidR="00543C64" w:rsidRPr="00076D9E">
        <w:rPr>
          <w:rFonts w:asciiTheme="majorHAnsi" w:eastAsiaTheme="majorEastAsia" w:hAnsiTheme="majorHAnsi" w:cstheme="majorBidi"/>
          <w:b/>
          <w:bCs/>
          <w:color w:val="365F91" w:themeColor="accent1" w:themeShade="BF"/>
          <w:szCs w:val="28"/>
          <w:lang w:val="en-US" w:eastAsia="ja-JP"/>
        </w:rPr>
        <w:t xml:space="preserve">SFTs </w:t>
      </w:r>
      <w:r w:rsidRPr="00076D9E">
        <w:rPr>
          <w:rFonts w:asciiTheme="majorHAnsi" w:eastAsiaTheme="majorEastAsia" w:hAnsiTheme="majorHAnsi" w:cstheme="majorBidi"/>
          <w:b/>
          <w:bCs/>
          <w:color w:val="365F91" w:themeColor="accent1" w:themeShade="BF"/>
          <w:szCs w:val="28"/>
          <w:lang w:val="en-US" w:eastAsia="ja-JP"/>
        </w:rPr>
        <w:t>(art. 3.2 of EU 2017/576)</w:t>
      </w:r>
    </w:p>
    <w:p w14:paraId="1BD3947E" w14:textId="77777777" w:rsidR="00033CAC" w:rsidRPr="00A61CA7" w:rsidRDefault="00033CAC" w:rsidP="00D22E22">
      <w:pPr>
        <w:pStyle w:val="Default"/>
        <w:spacing w:line="276" w:lineRule="auto"/>
        <w:jc w:val="both"/>
        <w:rPr>
          <w:rFonts w:asciiTheme="minorHAnsi" w:hAnsiTheme="minorHAnsi"/>
          <w:b/>
          <w:color w:val="002060"/>
          <w:sz w:val="28"/>
          <w:szCs w:val="28"/>
        </w:rPr>
      </w:pPr>
    </w:p>
    <w:tbl>
      <w:tblPr>
        <w:tblW w:w="9062" w:type="dxa"/>
        <w:tblCellMar>
          <w:left w:w="70" w:type="dxa"/>
          <w:right w:w="70" w:type="dxa"/>
        </w:tblCellMar>
        <w:tblLook w:val="04A0" w:firstRow="1" w:lastRow="0" w:firstColumn="1" w:lastColumn="0" w:noHBand="0" w:noVBand="1"/>
      </w:tblPr>
      <w:tblGrid>
        <w:gridCol w:w="2547"/>
        <w:gridCol w:w="4699"/>
        <w:gridCol w:w="1816"/>
      </w:tblGrid>
      <w:tr w:rsidR="001547CD" w:rsidRPr="001547CD" w14:paraId="3DBD7763"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55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Class of Instrument</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4EC38476"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SFT</w:t>
            </w:r>
          </w:p>
        </w:tc>
      </w:tr>
      <w:tr w:rsidR="001547CD" w:rsidRPr="001547CD" w14:paraId="6F52D4BC"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9E69C"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3330B9C0"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N</w:t>
            </w:r>
          </w:p>
        </w:tc>
      </w:tr>
      <w:tr w:rsidR="001547CD" w:rsidRPr="001547CD" w14:paraId="6A1E4DB6"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8364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4699" w:type="dxa"/>
            <w:tcBorders>
              <w:top w:val="nil"/>
              <w:left w:val="nil"/>
              <w:bottom w:val="single" w:sz="4" w:space="0" w:color="auto"/>
              <w:right w:val="single" w:sz="4" w:space="0" w:color="auto"/>
            </w:tcBorders>
            <w:shd w:val="clear" w:color="auto" w:fill="auto"/>
            <w:vAlign w:val="center"/>
            <w:hideMark/>
          </w:tcPr>
          <w:p w14:paraId="5106C637"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volume traded as a percentage of total in that class</w:t>
            </w:r>
          </w:p>
        </w:tc>
        <w:tc>
          <w:tcPr>
            <w:tcW w:w="1816" w:type="dxa"/>
            <w:tcBorders>
              <w:top w:val="nil"/>
              <w:left w:val="nil"/>
              <w:bottom w:val="single" w:sz="4" w:space="0" w:color="auto"/>
              <w:right w:val="single" w:sz="4" w:space="0" w:color="auto"/>
            </w:tcBorders>
            <w:shd w:val="clear" w:color="auto" w:fill="auto"/>
            <w:vAlign w:val="center"/>
            <w:hideMark/>
          </w:tcPr>
          <w:p w14:paraId="0BEEFAF5"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orders executed as percentage of total in that class</w:t>
            </w:r>
          </w:p>
        </w:tc>
      </w:tr>
      <w:tr w:rsidR="001547CD" w:rsidRPr="001547CD" w14:paraId="36BAAAFC"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82E9D"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CREDIT AGRICOLE CIB (1VUV7VQFKUOQSJ21A208)</w:t>
            </w:r>
          </w:p>
        </w:tc>
        <w:tc>
          <w:tcPr>
            <w:tcW w:w="4699" w:type="dxa"/>
            <w:tcBorders>
              <w:top w:val="nil"/>
              <w:left w:val="nil"/>
              <w:bottom w:val="single" w:sz="4" w:space="0" w:color="auto"/>
              <w:right w:val="single" w:sz="4" w:space="0" w:color="auto"/>
            </w:tcBorders>
            <w:shd w:val="clear" w:color="auto" w:fill="auto"/>
            <w:vAlign w:val="center"/>
            <w:hideMark/>
          </w:tcPr>
          <w:p w14:paraId="1440FB4E"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c>
          <w:tcPr>
            <w:tcW w:w="1816" w:type="dxa"/>
            <w:tcBorders>
              <w:top w:val="nil"/>
              <w:left w:val="nil"/>
              <w:bottom w:val="single" w:sz="4" w:space="0" w:color="auto"/>
              <w:right w:val="single" w:sz="4" w:space="0" w:color="auto"/>
            </w:tcBorders>
            <w:shd w:val="clear" w:color="auto" w:fill="auto"/>
            <w:vAlign w:val="center"/>
            <w:hideMark/>
          </w:tcPr>
          <w:p w14:paraId="1BF59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r>
    </w:tbl>
    <w:p w14:paraId="20137DC9" w14:textId="77777777" w:rsidR="00076D9E" w:rsidRDefault="00076D9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6CD566F" w14:textId="77777777" w:rsidR="00644077" w:rsidRPr="00076D9E" w:rsidRDefault="00644077"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E79AA51" w14:textId="77777777" w:rsidR="00076D9E" w:rsidRPr="00475252" w:rsidRDefault="00076D9E" w:rsidP="00D22E22">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475252">
        <w:rPr>
          <w:rFonts w:asciiTheme="majorHAnsi" w:eastAsiaTheme="majorEastAsia" w:hAnsiTheme="majorHAnsi" w:cstheme="majorBidi"/>
          <w:b/>
          <w:bCs/>
          <w:color w:val="365F91" w:themeColor="accent1" w:themeShade="BF"/>
          <w:sz w:val="28"/>
          <w:szCs w:val="28"/>
          <w:lang w:val="en-US" w:eastAsia="ja-JP"/>
        </w:rPr>
        <w:t>Part II Summary of analysis and conclusions on the quality of execution (art. 3.3 of EU 2017/576)</w:t>
      </w:r>
    </w:p>
    <w:p w14:paraId="0C87BA49" w14:textId="77777777" w:rsidR="00A4314C" w:rsidRDefault="00A4314C" w:rsidP="00D22E22">
      <w:pPr>
        <w:pStyle w:val="Default"/>
        <w:spacing w:line="276" w:lineRule="auto"/>
        <w:jc w:val="both"/>
        <w:rPr>
          <w:sz w:val="22"/>
          <w:szCs w:val="22"/>
        </w:rPr>
      </w:pPr>
    </w:p>
    <w:p w14:paraId="4E023DF9" w14:textId="77777777" w:rsidR="004A7523" w:rsidRPr="00D22E22" w:rsidRDefault="004A7523" w:rsidP="00D22E22">
      <w:pPr>
        <w:pStyle w:val="Default"/>
        <w:spacing w:line="276" w:lineRule="auto"/>
        <w:jc w:val="both"/>
        <w:rPr>
          <w:color w:val="1F497D" w:themeColor="text2"/>
          <w:sz w:val="22"/>
          <w:szCs w:val="22"/>
        </w:rPr>
      </w:pPr>
    </w:p>
    <w:p w14:paraId="47106B89" w14:textId="77777777" w:rsidR="0062481E"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62481E" w:rsidRPr="00D22E22">
        <w:rPr>
          <w:rFonts w:ascii="Arial" w:hAnsi="Arial" w:cs="Arial"/>
          <w:color w:val="1F497D" w:themeColor="text2"/>
        </w:rPr>
        <w:t xml:space="preserve">xplanation of the relative importance the firm gave to the execution factors of price, costs, speed, </w:t>
      </w:r>
      <w:r w:rsidR="00767A8E" w:rsidRPr="00D22E22">
        <w:rPr>
          <w:rFonts w:ascii="Arial" w:hAnsi="Arial" w:cs="Arial"/>
          <w:color w:val="1F497D" w:themeColor="text2"/>
        </w:rPr>
        <w:t>and likelihood</w:t>
      </w:r>
      <w:r w:rsidR="0062481E" w:rsidRPr="00D22E22">
        <w:rPr>
          <w:rFonts w:ascii="Arial" w:hAnsi="Arial" w:cs="Arial"/>
          <w:color w:val="1F497D" w:themeColor="text2"/>
        </w:rPr>
        <w:t xml:space="preserve"> of execution or any other consideration including qualitative factors when assessing the quality of execution</w:t>
      </w:r>
      <w:r w:rsidR="00C8652B">
        <w:rPr>
          <w:rFonts w:ascii="Arial" w:hAnsi="Arial" w:cs="Arial"/>
          <w:color w:val="1F497D" w:themeColor="text2"/>
        </w:rPr>
        <w:t>.</w:t>
      </w:r>
    </w:p>
    <w:p w14:paraId="5BFA427B" w14:textId="77777777" w:rsidR="0062481E" w:rsidRPr="00D22E22" w:rsidRDefault="0062481E" w:rsidP="00D22E22">
      <w:pPr>
        <w:pStyle w:val="Paragraphedeliste"/>
        <w:spacing w:after="0"/>
        <w:ind w:left="1080"/>
        <w:contextualSpacing w:val="0"/>
        <w:jc w:val="both"/>
        <w:rPr>
          <w:rFonts w:ascii="Arial" w:hAnsi="Arial" w:cs="Arial"/>
          <w:lang w:val="en-US" w:eastAsia="fr-FR"/>
        </w:rPr>
      </w:pPr>
    </w:p>
    <w:p w14:paraId="2AD54F1D" w14:textId="77777777" w:rsidR="007D0329" w:rsidRDefault="00FC3B9D" w:rsidP="00D22E22">
      <w:pPr>
        <w:pStyle w:val="Default"/>
        <w:spacing w:line="276" w:lineRule="auto"/>
        <w:jc w:val="both"/>
        <w:rPr>
          <w:sz w:val="22"/>
          <w:szCs w:val="22"/>
        </w:rPr>
      </w:pPr>
      <w:r>
        <w:rPr>
          <w:sz w:val="22"/>
          <w:szCs w:val="22"/>
        </w:rPr>
        <w:t xml:space="preserve">As required by MiFID II, </w:t>
      </w:r>
      <w:r w:rsidR="00822F17" w:rsidRPr="00D22E22">
        <w:rPr>
          <w:sz w:val="22"/>
          <w:szCs w:val="22"/>
        </w:rPr>
        <w:t>Credit Agricole Corporate and Investment Bank take</w:t>
      </w:r>
      <w:r>
        <w:rPr>
          <w:sz w:val="22"/>
          <w:szCs w:val="22"/>
        </w:rPr>
        <w:t>s</w:t>
      </w:r>
      <w:r w:rsidR="00822F17" w:rsidRPr="00D22E22">
        <w:rPr>
          <w:sz w:val="22"/>
          <w:szCs w:val="22"/>
        </w:rPr>
        <w:t xml:space="preserve"> all sufficient steps to obtain, when executing orders, the best possible result for </w:t>
      </w:r>
      <w:r w:rsidR="007D0329">
        <w:rPr>
          <w:sz w:val="22"/>
          <w:szCs w:val="22"/>
        </w:rPr>
        <w:t>its</w:t>
      </w:r>
      <w:r w:rsidR="007D0329" w:rsidRPr="00D22E22">
        <w:rPr>
          <w:sz w:val="22"/>
          <w:szCs w:val="22"/>
        </w:rPr>
        <w:t xml:space="preserve"> </w:t>
      </w:r>
      <w:r w:rsidR="00822F17" w:rsidRPr="00D22E22">
        <w:rPr>
          <w:sz w:val="22"/>
          <w:szCs w:val="22"/>
        </w:rPr>
        <w:t>clients taking into account price, costs, speed, likelihood of execution and settlement, size, nature or any other consideration relevant to the execution of the order</w:t>
      </w:r>
      <w:r w:rsidR="003C678B">
        <w:rPr>
          <w:sz w:val="22"/>
          <w:szCs w:val="22"/>
        </w:rPr>
        <w:t xml:space="preserve"> (</w:t>
      </w:r>
      <w:r w:rsidR="007D0329">
        <w:rPr>
          <w:sz w:val="22"/>
          <w:szCs w:val="22"/>
        </w:rPr>
        <w:t xml:space="preserve">the </w:t>
      </w:r>
      <w:r w:rsidR="00E17C95">
        <w:rPr>
          <w:sz w:val="22"/>
          <w:szCs w:val="22"/>
        </w:rPr>
        <w:t>“E</w:t>
      </w:r>
      <w:r w:rsidR="003C678B">
        <w:rPr>
          <w:sz w:val="22"/>
          <w:szCs w:val="22"/>
        </w:rPr>
        <w:t xml:space="preserve">xecution </w:t>
      </w:r>
      <w:r w:rsidR="00E17C95">
        <w:rPr>
          <w:sz w:val="22"/>
          <w:szCs w:val="22"/>
        </w:rPr>
        <w:t>F</w:t>
      </w:r>
      <w:r w:rsidR="003C678B">
        <w:rPr>
          <w:sz w:val="22"/>
          <w:szCs w:val="22"/>
        </w:rPr>
        <w:t>actors</w:t>
      </w:r>
      <w:r w:rsidR="00E17C95">
        <w:rPr>
          <w:sz w:val="22"/>
          <w:szCs w:val="22"/>
        </w:rPr>
        <w:t>”</w:t>
      </w:r>
      <w:r w:rsidR="003C678B">
        <w:rPr>
          <w:sz w:val="22"/>
          <w:szCs w:val="22"/>
        </w:rPr>
        <w:t>)</w:t>
      </w:r>
      <w:r w:rsidR="00822F17" w:rsidRPr="00D22E22">
        <w:rPr>
          <w:sz w:val="22"/>
          <w:szCs w:val="22"/>
        </w:rPr>
        <w:t xml:space="preserve">. </w:t>
      </w:r>
    </w:p>
    <w:p w14:paraId="5448CAA0" w14:textId="77777777" w:rsidR="007D0329" w:rsidRDefault="007D0329" w:rsidP="00D22E22">
      <w:pPr>
        <w:pStyle w:val="Default"/>
        <w:spacing w:line="276" w:lineRule="auto"/>
        <w:jc w:val="both"/>
        <w:rPr>
          <w:sz w:val="22"/>
          <w:szCs w:val="22"/>
        </w:rPr>
      </w:pPr>
    </w:p>
    <w:p w14:paraId="079233B8" w14:textId="77777777" w:rsidR="007D0329" w:rsidRDefault="007D0329" w:rsidP="007D0329">
      <w:pPr>
        <w:pStyle w:val="Default"/>
        <w:spacing w:line="276" w:lineRule="auto"/>
        <w:jc w:val="both"/>
        <w:rPr>
          <w:sz w:val="22"/>
          <w:szCs w:val="22"/>
        </w:rPr>
      </w:pPr>
      <w:r w:rsidRPr="00D22E22">
        <w:rPr>
          <w:color w:val="auto"/>
          <w:sz w:val="22"/>
          <w:szCs w:val="22"/>
        </w:rPr>
        <w:t xml:space="preserve">While price, size, speed and </w:t>
      </w:r>
      <w:r>
        <w:rPr>
          <w:color w:val="auto"/>
          <w:sz w:val="22"/>
          <w:szCs w:val="22"/>
        </w:rPr>
        <w:t>likelihood</w:t>
      </w:r>
      <w:r w:rsidRPr="00D22E22">
        <w:rPr>
          <w:color w:val="auto"/>
          <w:sz w:val="22"/>
          <w:szCs w:val="22"/>
        </w:rPr>
        <w:t xml:space="preserve"> of execution are generally the decisive factors taken into account to obtain the best possible result</w:t>
      </w:r>
      <w:r>
        <w:rPr>
          <w:color w:val="auto"/>
          <w:sz w:val="22"/>
          <w:szCs w:val="22"/>
        </w:rPr>
        <w:t xml:space="preserve"> for clients</w:t>
      </w:r>
      <w:r w:rsidRPr="00D22E22">
        <w:rPr>
          <w:color w:val="auto"/>
          <w:sz w:val="22"/>
          <w:szCs w:val="22"/>
        </w:rPr>
        <w:t xml:space="preserve">, the overall value </w:t>
      </w:r>
      <w:r>
        <w:rPr>
          <w:color w:val="auto"/>
          <w:sz w:val="22"/>
          <w:szCs w:val="22"/>
        </w:rPr>
        <w:t>for</w:t>
      </w:r>
      <w:r w:rsidRPr="00D22E22">
        <w:rPr>
          <w:color w:val="auto"/>
          <w:sz w:val="22"/>
          <w:szCs w:val="22"/>
        </w:rPr>
        <w:t xml:space="preserve"> a client of a </w:t>
      </w:r>
      <w:r w:rsidRPr="00D22E22">
        <w:rPr>
          <w:sz w:val="22"/>
          <w:szCs w:val="22"/>
        </w:rPr>
        <w:t xml:space="preserve">particular transaction may be affected by </w:t>
      </w:r>
      <w:r w:rsidR="00F4202B">
        <w:rPr>
          <w:sz w:val="22"/>
          <w:szCs w:val="22"/>
        </w:rPr>
        <w:t>the other factors outlined above</w:t>
      </w:r>
      <w:r w:rsidR="008100FC">
        <w:rPr>
          <w:sz w:val="22"/>
          <w:szCs w:val="22"/>
        </w:rPr>
        <w:t>.</w:t>
      </w:r>
      <w:r w:rsidRPr="00D22E22">
        <w:rPr>
          <w:sz w:val="22"/>
          <w:szCs w:val="22"/>
        </w:rPr>
        <w:t xml:space="preserve"> The relative importance of each factor is determined by taking into account the following criteria: </w:t>
      </w:r>
    </w:p>
    <w:p w14:paraId="0ED6DA49" w14:textId="77777777" w:rsidR="007D0329" w:rsidRPr="00D22E22" w:rsidRDefault="007D0329" w:rsidP="007D0329">
      <w:pPr>
        <w:pStyle w:val="Default"/>
        <w:spacing w:line="276" w:lineRule="auto"/>
        <w:jc w:val="both"/>
        <w:rPr>
          <w:sz w:val="22"/>
          <w:szCs w:val="22"/>
        </w:rPr>
      </w:pPr>
    </w:p>
    <w:p w14:paraId="6380DE16"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including its classification; </w:t>
      </w:r>
    </w:p>
    <w:p w14:paraId="61D4DB57"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order; </w:t>
      </w:r>
    </w:p>
    <w:p w14:paraId="3DEF8148"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w:t>
      </w:r>
      <w:r>
        <w:rPr>
          <w:sz w:val="22"/>
          <w:szCs w:val="22"/>
        </w:rPr>
        <w:t>f</w:t>
      </w:r>
      <w:r w:rsidRPr="00D22E22">
        <w:rPr>
          <w:sz w:val="22"/>
          <w:szCs w:val="22"/>
        </w:rPr>
        <w:t xml:space="preserve">inancial </w:t>
      </w:r>
      <w:r>
        <w:rPr>
          <w:sz w:val="22"/>
          <w:szCs w:val="22"/>
        </w:rPr>
        <w:t>i</w:t>
      </w:r>
      <w:r w:rsidRPr="00D22E22">
        <w:rPr>
          <w:sz w:val="22"/>
          <w:szCs w:val="22"/>
        </w:rPr>
        <w:t xml:space="preserve">nstruments concerned by the order; </w:t>
      </w:r>
    </w:p>
    <w:p w14:paraId="283F777B" w14:textId="77777777" w:rsidR="007D0329" w:rsidRDefault="007D0329" w:rsidP="00D22E22">
      <w:pPr>
        <w:pStyle w:val="Default"/>
        <w:spacing w:line="276" w:lineRule="auto"/>
        <w:jc w:val="both"/>
        <w:rPr>
          <w:sz w:val="22"/>
          <w:szCs w:val="22"/>
        </w:rPr>
      </w:pPr>
    </w:p>
    <w:p w14:paraId="25D778BC" w14:textId="77777777" w:rsidR="001D3FCA" w:rsidRDefault="001D3FCA" w:rsidP="001D3FCA">
      <w:pPr>
        <w:autoSpaceDE w:val="0"/>
        <w:autoSpaceDN w:val="0"/>
        <w:adjustRightInd w:val="0"/>
        <w:spacing w:after="0"/>
        <w:jc w:val="both"/>
        <w:rPr>
          <w:rFonts w:ascii="Arial" w:hAnsi="Arial" w:cs="Arial"/>
          <w:color w:val="000000"/>
        </w:rPr>
      </w:pPr>
      <w:r>
        <w:rPr>
          <w:rFonts w:ascii="Arial" w:hAnsi="Arial" w:cs="Arial"/>
          <w:color w:val="000000"/>
        </w:rPr>
        <w:t>However, it is important to note that a</w:t>
      </w:r>
      <w:r w:rsidRPr="00D67845">
        <w:rPr>
          <w:rFonts w:ascii="Arial" w:hAnsi="Arial" w:cs="Arial"/>
          <w:color w:val="000000"/>
        </w:rPr>
        <w:t xml:space="preserve"> client can give specific instructions as to how they wish their order to be executed. Should a client give </w:t>
      </w:r>
      <w:r w:rsidR="00C147CC">
        <w:rPr>
          <w:rFonts w:ascii="Arial" w:hAnsi="Arial" w:cs="Arial"/>
          <w:color w:val="000000"/>
        </w:rPr>
        <w:t xml:space="preserve">order </w:t>
      </w:r>
      <w:r w:rsidRPr="00D67845">
        <w:rPr>
          <w:rFonts w:ascii="Arial" w:hAnsi="Arial" w:cs="Arial"/>
          <w:color w:val="000000"/>
        </w:rPr>
        <w:t xml:space="preserve">specific instructions, Credit Agricole </w:t>
      </w:r>
      <w:r w:rsidRPr="00D67845">
        <w:rPr>
          <w:rFonts w:ascii="Arial" w:hAnsi="Arial" w:cs="Arial"/>
          <w:color w:val="000000"/>
        </w:rPr>
        <w:lastRenderedPageBreak/>
        <w:t>Corporate and Investment Bank</w:t>
      </w:r>
      <w:r w:rsidR="00C147CC">
        <w:rPr>
          <w:rFonts w:ascii="Arial" w:hAnsi="Arial" w:cs="Arial"/>
          <w:color w:val="000000"/>
        </w:rPr>
        <w:t xml:space="preserve"> will </w:t>
      </w:r>
      <w:r w:rsidRPr="00D67845">
        <w:rPr>
          <w:rFonts w:ascii="Arial" w:hAnsi="Arial" w:cs="Arial"/>
          <w:color w:val="000000"/>
        </w:rPr>
        <w:t xml:space="preserve">meet its </w:t>
      </w:r>
      <w:r>
        <w:rPr>
          <w:rFonts w:ascii="Arial" w:hAnsi="Arial" w:cs="Arial"/>
          <w:color w:val="000000"/>
        </w:rPr>
        <w:t>b</w:t>
      </w:r>
      <w:r w:rsidRPr="00D67845">
        <w:rPr>
          <w:rFonts w:ascii="Arial" w:hAnsi="Arial" w:cs="Arial"/>
          <w:color w:val="000000"/>
        </w:rPr>
        <w:t xml:space="preserve">est </w:t>
      </w:r>
      <w:r>
        <w:rPr>
          <w:rFonts w:ascii="Arial" w:hAnsi="Arial" w:cs="Arial"/>
          <w:color w:val="000000"/>
        </w:rPr>
        <w:t>e</w:t>
      </w:r>
      <w:r w:rsidRPr="00D67845">
        <w:rPr>
          <w:rFonts w:ascii="Arial" w:hAnsi="Arial" w:cs="Arial"/>
          <w:color w:val="000000"/>
        </w:rPr>
        <w:t xml:space="preserve">xecution obligation as long as the order, or a specific aspect of the order, is </w:t>
      </w:r>
      <w:r w:rsidR="00902701" w:rsidRPr="00D67845">
        <w:rPr>
          <w:rFonts w:ascii="Arial" w:hAnsi="Arial" w:cs="Arial"/>
          <w:color w:val="000000"/>
        </w:rPr>
        <w:t>executed</w:t>
      </w:r>
      <w:r w:rsidR="00902701">
        <w:rPr>
          <w:rFonts w:ascii="Arial" w:hAnsi="Arial" w:cs="Arial"/>
          <w:color w:val="000000"/>
        </w:rPr>
        <w:t xml:space="preserve"> </w:t>
      </w:r>
      <w:r w:rsidR="00902701" w:rsidRPr="00D67845">
        <w:rPr>
          <w:rFonts w:ascii="Arial" w:hAnsi="Arial" w:cs="Arial"/>
          <w:color w:val="000000"/>
        </w:rPr>
        <w:t>following</w:t>
      </w:r>
      <w:r w:rsidRPr="00D67845">
        <w:rPr>
          <w:rFonts w:ascii="Arial" w:hAnsi="Arial" w:cs="Arial"/>
          <w:color w:val="000000"/>
        </w:rPr>
        <w:t xml:space="preserve"> </w:t>
      </w:r>
      <w:r w:rsidR="00902701" w:rsidRPr="00D67845">
        <w:rPr>
          <w:rFonts w:ascii="Arial" w:hAnsi="Arial" w:cs="Arial"/>
          <w:color w:val="000000"/>
        </w:rPr>
        <w:t>the instructions</w:t>
      </w:r>
      <w:r w:rsidRPr="00D67845">
        <w:rPr>
          <w:rFonts w:ascii="Arial" w:hAnsi="Arial" w:cs="Arial"/>
          <w:color w:val="000000"/>
        </w:rPr>
        <w:t xml:space="preserve"> given by the client. </w:t>
      </w:r>
    </w:p>
    <w:p w14:paraId="563F8FF9" w14:textId="77777777" w:rsidR="007D0329" w:rsidRDefault="007D0329" w:rsidP="00D22E22">
      <w:pPr>
        <w:pStyle w:val="Default"/>
        <w:spacing w:line="276" w:lineRule="auto"/>
        <w:jc w:val="both"/>
        <w:rPr>
          <w:sz w:val="22"/>
          <w:szCs w:val="22"/>
        </w:rPr>
      </w:pPr>
    </w:p>
    <w:p w14:paraId="5F832ED4" w14:textId="77777777" w:rsidR="00822F17" w:rsidRPr="00D22E22" w:rsidRDefault="00822F17" w:rsidP="00D22E22">
      <w:pPr>
        <w:pStyle w:val="Default"/>
        <w:spacing w:line="276" w:lineRule="auto"/>
        <w:jc w:val="both"/>
        <w:rPr>
          <w:sz w:val="22"/>
          <w:szCs w:val="22"/>
        </w:rPr>
      </w:pPr>
      <w:r w:rsidRPr="00D22E22">
        <w:rPr>
          <w:sz w:val="22"/>
          <w:szCs w:val="22"/>
        </w:rPr>
        <w:t xml:space="preserve">When Credit Agricole Corporate and Investment Bank executes an order on behalf of a </w:t>
      </w:r>
      <w:r w:rsidR="00E17C95">
        <w:rPr>
          <w:sz w:val="22"/>
          <w:szCs w:val="22"/>
        </w:rPr>
        <w:t>R</w:t>
      </w:r>
      <w:r w:rsidRPr="00D22E22">
        <w:rPr>
          <w:sz w:val="22"/>
          <w:szCs w:val="22"/>
        </w:rPr>
        <w:t xml:space="preserve">etail </w:t>
      </w:r>
      <w:r w:rsidR="00E17C95">
        <w:rPr>
          <w:sz w:val="22"/>
          <w:szCs w:val="22"/>
        </w:rPr>
        <w:t>C</w:t>
      </w:r>
      <w:r w:rsidRPr="00D22E22">
        <w:rPr>
          <w:sz w:val="22"/>
          <w:szCs w:val="22"/>
        </w:rPr>
        <w:t>lient, the best possible result shall be determined in terms of total consideration</w:t>
      </w:r>
      <w:r w:rsidR="009345B0">
        <w:rPr>
          <w:sz w:val="22"/>
          <w:szCs w:val="22"/>
        </w:rPr>
        <w:t xml:space="preserve"> of </w:t>
      </w:r>
      <w:r w:rsidRPr="00D22E22">
        <w:rPr>
          <w:sz w:val="22"/>
          <w:szCs w:val="22"/>
        </w:rPr>
        <w:t xml:space="preserve">the price of the </w:t>
      </w:r>
      <w:r w:rsidR="007D0329">
        <w:rPr>
          <w:sz w:val="22"/>
          <w:szCs w:val="22"/>
        </w:rPr>
        <w:t>f</w:t>
      </w:r>
      <w:r w:rsidR="007D0329" w:rsidRPr="00D22E22">
        <w:rPr>
          <w:sz w:val="22"/>
          <w:szCs w:val="22"/>
        </w:rPr>
        <w:t xml:space="preserve">inancial </w:t>
      </w:r>
      <w:r w:rsidR="007D0329">
        <w:rPr>
          <w:sz w:val="22"/>
          <w:szCs w:val="22"/>
        </w:rPr>
        <w:t>i</w:t>
      </w:r>
      <w:r w:rsidR="007D0329" w:rsidRPr="00D22E22">
        <w:rPr>
          <w:sz w:val="22"/>
          <w:szCs w:val="22"/>
        </w:rPr>
        <w:t>nstrument</w:t>
      </w:r>
      <w:r w:rsidRPr="00D22E22">
        <w:rPr>
          <w:sz w:val="22"/>
          <w:szCs w:val="22"/>
        </w:rPr>
        <w:t xml:space="preserve"> and the costs relating to execution</w:t>
      </w:r>
      <w:r w:rsidR="009345B0">
        <w:rPr>
          <w:sz w:val="22"/>
          <w:szCs w:val="22"/>
        </w:rPr>
        <w:t>. The latter</w:t>
      </w:r>
      <w:r w:rsidRPr="00D22E22">
        <w:rPr>
          <w:sz w:val="22"/>
          <w:szCs w:val="22"/>
        </w:rPr>
        <w:t xml:space="preserve"> shall include all </w:t>
      </w:r>
      <w:r w:rsidR="00C147CC">
        <w:rPr>
          <w:sz w:val="22"/>
          <w:szCs w:val="22"/>
        </w:rPr>
        <w:t xml:space="preserve">direct </w:t>
      </w:r>
      <w:r w:rsidRPr="00D22E22">
        <w:rPr>
          <w:sz w:val="22"/>
          <w:szCs w:val="22"/>
        </w:rPr>
        <w:t xml:space="preserve">expenses incurred by the client </w:t>
      </w:r>
      <w:r w:rsidR="00902701" w:rsidRPr="00D22E22">
        <w:rPr>
          <w:sz w:val="22"/>
          <w:szCs w:val="22"/>
        </w:rPr>
        <w:t>which directly</w:t>
      </w:r>
      <w:r w:rsidR="00FC3B9D">
        <w:rPr>
          <w:sz w:val="22"/>
          <w:szCs w:val="22"/>
        </w:rPr>
        <w:t xml:space="preserve"> </w:t>
      </w:r>
      <w:r w:rsidR="00902701">
        <w:rPr>
          <w:sz w:val="22"/>
          <w:szCs w:val="22"/>
        </w:rPr>
        <w:t xml:space="preserve">relate </w:t>
      </w:r>
      <w:r w:rsidR="00902701" w:rsidRPr="00D22E22">
        <w:rPr>
          <w:sz w:val="22"/>
          <w:szCs w:val="22"/>
        </w:rPr>
        <w:t>to</w:t>
      </w:r>
      <w:r w:rsidRPr="00D22E22">
        <w:rPr>
          <w:sz w:val="22"/>
          <w:szCs w:val="22"/>
        </w:rPr>
        <w:t xml:space="preserve"> the execution of the order, </w:t>
      </w:r>
      <w:r w:rsidR="00C147CC">
        <w:rPr>
          <w:sz w:val="22"/>
          <w:szCs w:val="22"/>
        </w:rPr>
        <w:t xml:space="preserve">such </w:t>
      </w:r>
      <w:r w:rsidR="00902701">
        <w:rPr>
          <w:sz w:val="22"/>
          <w:szCs w:val="22"/>
        </w:rPr>
        <w:t xml:space="preserve">as </w:t>
      </w:r>
      <w:r w:rsidR="00902701" w:rsidRPr="00D22E22">
        <w:rPr>
          <w:sz w:val="22"/>
          <w:szCs w:val="22"/>
        </w:rPr>
        <w:t>execution</w:t>
      </w:r>
      <w:r w:rsidRPr="00D22E22">
        <w:rPr>
          <w:sz w:val="22"/>
          <w:szCs w:val="22"/>
        </w:rPr>
        <w:t xml:space="preserve"> venue fees, clearing and settlement fees and any other fees paid to third parties involved in the execution of the order</w:t>
      </w:r>
      <w:r w:rsidR="007D0329">
        <w:rPr>
          <w:sz w:val="22"/>
          <w:szCs w:val="22"/>
        </w:rPr>
        <w:t>.</w:t>
      </w:r>
    </w:p>
    <w:p w14:paraId="46A86005" w14:textId="77777777" w:rsidR="00822F17" w:rsidRPr="00D22E22" w:rsidRDefault="00822F17" w:rsidP="00D22E22">
      <w:pPr>
        <w:pStyle w:val="Default"/>
        <w:spacing w:line="276" w:lineRule="auto"/>
        <w:jc w:val="both"/>
        <w:rPr>
          <w:sz w:val="22"/>
          <w:szCs w:val="22"/>
        </w:rPr>
      </w:pPr>
    </w:p>
    <w:p w14:paraId="447873F6" w14:textId="77777777" w:rsidR="00F62C6F" w:rsidRPr="009341D6" w:rsidRDefault="005001DD"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On any given order, circumstances may indicate that any particular Execution Factor may </w:t>
      </w:r>
      <w:r w:rsidR="007D0329" w:rsidRPr="009341D6">
        <w:rPr>
          <w:rFonts w:ascii="Arial" w:hAnsi="Arial" w:cs="Arial"/>
          <w:color w:val="000000"/>
        </w:rPr>
        <w:t xml:space="preserve">play </w:t>
      </w:r>
      <w:r w:rsidRPr="009341D6">
        <w:rPr>
          <w:rFonts w:ascii="Arial" w:hAnsi="Arial" w:cs="Arial"/>
          <w:color w:val="000000"/>
        </w:rPr>
        <w:t xml:space="preserve">a greater or lesser </w:t>
      </w:r>
      <w:r w:rsidR="00E17C95" w:rsidRPr="009341D6">
        <w:rPr>
          <w:rFonts w:ascii="Arial" w:hAnsi="Arial" w:cs="Arial"/>
          <w:color w:val="000000"/>
        </w:rPr>
        <w:t>role i</w:t>
      </w:r>
      <w:r w:rsidRPr="009341D6">
        <w:rPr>
          <w:rFonts w:ascii="Arial" w:hAnsi="Arial" w:cs="Arial"/>
          <w:color w:val="000000"/>
        </w:rPr>
        <w:t xml:space="preserve">n achieving </w:t>
      </w:r>
      <w:r w:rsidR="00E17C95" w:rsidRPr="009341D6">
        <w:rPr>
          <w:rFonts w:ascii="Arial" w:hAnsi="Arial" w:cs="Arial"/>
          <w:color w:val="000000"/>
        </w:rPr>
        <w:t>best execution</w:t>
      </w:r>
      <w:r w:rsidRPr="009341D6">
        <w:rPr>
          <w:rFonts w:ascii="Arial" w:hAnsi="Arial" w:cs="Arial"/>
          <w:color w:val="000000"/>
        </w:rPr>
        <w:t xml:space="preserve">. </w:t>
      </w:r>
      <w:r w:rsidR="00E17C95" w:rsidRPr="009341D6">
        <w:rPr>
          <w:rFonts w:ascii="Arial" w:hAnsi="Arial" w:cs="Arial"/>
          <w:color w:val="000000"/>
        </w:rPr>
        <w:t>We s</w:t>
      </w:r>
      <w:r w:rsidRPr="009341D6">
        <w:rPr>
          <w:rFonts w:ascii="Arial" w:hAnsi="Arial" w:cs="Arial"/>
          <w:color w:val="000000"/>
        </w:rPr>
        <w:t xml:space="preserve">et out </w:t>
      </w:r>
      <w:r w:rsidR="00E17C95" w:rsidRPr="009341D6">
        <w:rPr>
          <w:rFonts w:ascii="Arial" w:hAnsi="Arial" w:cs="Arial"/>
          <w:color w:val="000000"/>
        </w:rPr>
        <w:t xml:space="preserve">in the table </w:t>
      </w:r>
      <w:r w:rsidRPr="009341D6">
        <w:rPr>
          <w:rFonts w:ascii="Arial" w:hAnsi="Arial" w:cs="Arial"/>
          <w:color w:val="000000"/>
        </w:rPr>
        <w:t xml:space="preserve">below the different priorities we apply in normal market </w:t>
      </w:r>
      <w:r w:rsidR="00E17C95" w:rsidRPr="009341D6">
        <w:rPr>
          <w:rFonts w:ascii="Arial" w:hAnsi="Arial" w:cs="Arial"/>
          <w:color w:val="000000"/>
        </w:rPr>
        <w:t xml:space="preserve">and liquidity </w:t>
      </w:r>
      <w:r w:rsidRPr="009341D6">
        <w:rPr>
          <w:rFonts w:ascii="Arial" w:hAnsi="Arial" w:cs="Arial"/>
          <w:color w:val="000000"/>
        </w:rPr>
        <w:t xml:space="preserve">conditions </w:t>
      </w:r>
      <w:r w:rsidR="00E17C95" w:rsidRPr="009341D6">
        <w:rPr>
          <w:rFonts w:ascii="Arial" w:hAnsi="Arial" w:cs="Arial"/>
          <w:color w:val="000000"/>
        </w:rPr>
        <w:t>when executing client orders</w:t>
      </w:r>
      <w:r w:rsidRPr="009341D6">
        <w:rPr>
          <w:rFonts w:ascii="Arial" w:hAnsi="Arial" w:cs="Arial"/>
          <w:color w:val="000000"/>
        </w:rPr>
        <w:t xml:space="preserve">. </w:t>
      </w:r>
    </w:p>
    <w:p w14:paraId="5C057D88" w14:textId="77777777" w:rsidR="0011184C" w:rsidRPr="009341D6" w:rsidRDefault="0011184C" w:rsidP="009341D6">
      <w:pPr>
        <w:autoSpaceDE w:val="0"/>
        <w:autoSpaceDN w:val="0"/>
        <w:adjustRightInd w:val="0"/>
        <w:spacing w:after="0"/>
        <w:jc w:val="both"/>
        <w:rPr>
          <w:rFonts w:ascii="Arial" w:hAnsi="Arial" w:cs="Arial"/>
          <w:color w:val="000000"/>
        </w:rPr>
      </w:pPr>
    </w:p>
    <w:p w14:paraId="59ADAA17" w14:textId="77777777" w:rsidR="002F74E6" w:rsidRDefault="002F74E6"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Credit Agricole Corporate and Investment Bank has implemented an internal governance and control framework in order to review and monitor its best execution arrangements on a regular basis and upon material change. Where best execution is owed, Credit Agricole Corporate and Investment Bank will </w:t>
      </w:r>
      <w:r w:rsidR="00A370F5">
        <w:rPr>
          <w:rFonts w:ascii="Arial" w:hAnsi="Arial" w:cs="Arial"/>
          <w:color w:val="000000"/>
        </w:rPr>
        <w:t>use</w:t>
      </w:r>
      <w:r w:rsidRPr="009341D6">
        <w:rPr>
          <w:rFonts w:ascii="Arial" w:hAnsi="Arial" w:cs="Arial"/>
          <w:color w:val="000000"/>
        </w:rPr>
        <w:t xml:space="preserve"> all </w:t>
      </w:r>
      <w:r w:rsidR="00D759E4">
        <w:rPr>
          <w:rFonts w:ascii="Arial" w:hAnsi="Arial" w:cs="Arial"/>
          <w:color w:val="000000"/>
        </w:rPr>
        <w:t xml:space="preserve">available </w:t>
      </w:r>
      <w:r w:rsidR="00902701" w:rsidRPr="009341D6">
        <w:rPr>
          <w:rFonts w:ascii="Arial" w:hAnsi="Arial" w:cs="Arial"/>
          <w:color w:val="000000"/>
        </w:rPr>
        <w:t>means to justify</w:t>
      </w:r>
      <w:r w:rsidRPr="009341D6">
        <w:rPr>
          <w:rFonts w:ascii="Arial" w:hAnsi="Arial" w:cs="Arial"/>
          <w:color w:val="000000"/>
        </w:rPr>
        <w:t xml:space="preserve"> best execution of its client orders. </w:t>
      </w:r>
    </w:p>
    <w:p w14:paraId="76630C78" w14:textId="77777777" w:rsidR="00D759E4" w:rsidRDefault="00D759E4" w:rsidP="009341D6">
      <w:pPr>
        <w:autoSpaceDE w:val="0"/>
        <w:autoSpaceDN w:val="0"/>
        <w:adjustRightInd w:val="0"/>
        <w:spacing w:after="0"/>
        <w:jc w:val="both"/>
        <w:rPr>
          <w:rFonts w:ascii="Arial" w:hAnsi="Arial" w:cs="Arial"/>
          <w:color w:val="000000"/>
        </w:rPr>
      </w:pPr>
    </w:p>
    <w:p w14:paraId="50E248CF" w14:textId="77777777" w:rsidR="00D759E4" w:rsidRDefault="00D759E4" w:rsidP="009341D6">
      <w:pPr>
        <w:autoSpaceDE w:val="0"/>
        <w:autoSpaceDN w:val="0"/>
        <w:adjustRightInd w:val="0"/>
        <w:spacing w:after="0"/>
        <w:jc w:val="both"/>
        <w:rPr>
          <w:rFonts w:ascii="Arial" w:hAnsi="Arial" w:cs="Arial"/>
          <w:color w:val="000000"/>
        </w:rPr>
      </w:pPr>
    </w:p>
    <w:p w14:paraId="141018B9" w14:textId="77777777" w:rsidR="00D759E4" w:rsidRDefault="00D759E4" w:rsidP="009341D6">
      <w:pPr>
        <w:autoSpaceDE w:val="0"/>
        <w:autoSpaceDN w:val="0"/>
        <w:adjustRightInd w:val="0"/>
        <w:spacing w:after="0"/>
        <w:jc w:val="both"/>
        <w:rPr>
          <w:rFonts w:ascii="Arial" w:hAnsi="Arial" w:cs="Arial"/>
          <w:color w:val="000000"/>
        </w:rPr>
      </w:pPr>
    </w:p>
    <w:p w14:paraId="3B49AA75" w14:textId="77777777" w:rsidR="00D759E4" w:rsidRDefault="00D759E4" w:rsidP="009341D6">
      <w:pPr>
        <w:autoSpaceDE w:val="0"/>
        <w:autoSpaceDN w:val="0"/>
        <w:adjustRightInd w:val="0"/>
        <w:spacing w:after="0"/>
        <w:jc w:val="both"/>
        <w:rPr>
          <w:rFonts w:ascii="Arial" w:hAnsi="Arial" w:cs="Arial"/>
          <w:color w:val="000000"/>
        </w:rPr>
      </w:pPr>
    </w:p>
    <w:p w14:paraId="291EE550" w14:textId="77777777" w:rsidR="00A169DF" w:rsidRDefault="00A169DF">
      <w:pPr>
        <w:rPr>
          <w:rFonts w:ascii="Arial" w:hAnsi="Arial" w:cs="Arial"/>
          <w:color w:val="000000"/>
          <w:u w:val="single"/>
        </w:rPr>
      </w:pPr>
      <w:r>
        <w:rPr>
          <w:rFonts w:ascii="Arial" w:hAnsi="Arial" w:cs="Arial"/>
          <w:color w:val="000000"/>
          <w:u w:val="single"/>
        </w:rPr>
        <w:br w:type="page"/>
      </w:r>
    </w:p>
    <w:p w14:paraId="022A0B81" w14:textId="182D9E4E" w:rsidR="00D759E4" w:rsidRPr="00902701" w:rsidRDefault="00902701" w:rsidP="00902701">
      <w:pPr>
        <w:autoSpaceDE w:val="0"/>
        <w:autoSpaceDN w:val="0"/>
        <w:adjustRightInd w:val="0"/>
        <w:spacing w:after="0"/>
        <w:jc w:val="center"/>
        <w:rPr>
          <w:rFonts w:ascii="Arial" w:hAnsi="Arial" w:cs="Arial"/>
          <w:color w:val="000000"/>
          <w:u w:val="single"/>
        </w:rPr>
      </w:pPr>
      <w:r w:rsidRPr="00902701">
        <w:rPr>
          <w:rFonts w:ascii="Arial" w:hAnsi="Arial" w:cs="Arial"/>
          <w:color w:val="000000"/>
          <w:u w:val="single"/>
        </w:rPr>
        <w:lastRenderedPageBreak/>
        <w:t xml:space="preserve">Classification of order execution factors by importance </w:t>
      </w:r>
      <w:r w:rsidRPr="00902701">
        <w:rPr>
          <w:rFonts w:ascii="Arial" w:hAnsi="Arial" w:cs="Arial"/>
          <w:color w:val="000000"/>
          <w:sz w:val="20"/>
          <w:u w:val="single"/>
        </w:rPr>
        <w:t>(1 is the most important factor)</w:t>
      </w:r>
    </w:p>
    <w:p w14:paraId="2207FE5A" w14:textId="77777777" w:rsidR="00D759E4" w:rsidRDefault="00D759E4" w:rsidP="009341D6">
      <w:pPr>
        <w:autoSpaceDE w:val="0"/>
        <w:autoSpaceDN w:val="0"/>
        <w:adjustRightInd w:val="0"/>
        <w:spacing w:after="0"/>
        <w:jc w:val="both"/>
        <w:rPr>
          <w:rFonts w:ascii="Arial" w:hAnsi="Arial" w:cs="Arial"/>
          <w:color w:val="000000"/>
        </w:rPr>
      </w:pPr>
    </w:p>
    <w:tbl>
      <w:tblPr>
        <w:tblW w:w="8508" w:type="dxa"/>
        <w:tblCellMar>
          <w:left w:w="70" w:type="dxa"/>
          <w:right w:w="70" w:type="dxa"/>
        </w:tblCellMar>
        <w:tblLook w:val="04A0" w:firstRow="1" w:lastRow="0" w:firstColumn="1" w:lastColumn="0" w:noHBand="0" w:noVBand="1"/>
      </w:tblPr>
      <w:tblGrid>
        <w:gridCol w:w="2410"/>
        <w:gridCol w:w="992"/>
        <w:gridCol w:w="851"/>
        <w:gridCol w:w="1134"/>
        <w:gridCol w:w="995"/>
        <w:gridCol w:w="851"/>
        <w:gridCol w:w="567"/>
        <w:gridCol w:w="708"/>
      </w:tblGrid>
      <w:tr w:rsidR="00B41B29" w:rsidRPr="00ED46E3" w14:paraId="1DB68055" w14:textId="77777777" w:rsidTr="00B41B29">
        <w:trPr>
          <w:trHeight w:val="360"/>
        </w:trPr>
        <w:tc>
          <w:tcPr>
            <w:tcW w:w="2410" w:type="dxa"/>
            <w:vMerge w:val="restart"/>
            <w:tcBorders>
              <w:top w:val="nil"/>
              <w:left w:val="nil"/>
              <w:bottom w:val="nil"/>
              <w:right w:val="nil"/>
            </w:tcBorders>
            <w:shd w:val="clear" w:color="000000" w:fill="538DD5"/>
            <w:vAlign w:val="center"/>
            <w:hideMark/>
          </w:tcPr>
          <w:p w14:paraId="0FBD63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Product</w:t>
            </w:r>
          </w:p>
        </w:tc>
        <w:tc>
          <w:tcPr>
            <w:tcW w:w="992" w:type="dxa"/>
            <w:vMerge w:val="restart"/>
            <w:tcBorders>
              <w:top w:val="nil"/>
              <w:left w:val="nil"/>
              <w:bottom w:val="nil"/>
              <w:right w:val="nil"/>
            </w:tcBorders>
            <w:shd w:val="clear" w:color="000000" w:fill="538DD5"/>
            <w:vAlign w:val="center"/>
            <w:hideMark/>
          </w:tcPr>
          <w:p w14:paraId="6FA419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Price</w:t>
            </w:r>
          </w:p>
        </w:tc>
        <w:tc>
          <w:tcPr>
            <w:tcW w:w="851" w:type="dxa"/>
            <w:vMerge w:val="restart"/>
            <w:tcBorders>
              <w:top w:val="nil"/>
              <w:left w:val="nil"/>
              <w:bottom w:val="nil"/>
              <w:right w:val="nil"/>
            </w:tcBorders>
            <w:shd w:val="clear" w:color="000000" w:fill="538DD5"/>
            <w:vAlign w:val="center"/>
            <w:hideMark/>
          </w:tcPr>
          <w:p w14:paraId="05786F9D"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Cost</w:t>
            </w:r>
            <w:proofErr w:type="spellEnd"/>
          </w:p>
        </w:tc>
        <w:tc>
          <w:tcPr>
            <w:tcW w:w="1134" w:type="dxa"/>
            <w:vMerge w:val="restart"/>
            <w:tcBorders>
              <w:top w:val="nil"/>
              <w:left w:val="nil"/>
              <w:bottom w:val="nil"/>
              <w:right w:val="nil"/>
            </w:tcBorders>
            <w:shd w:val="clear" w:color="000000" w:fill="538DD5"/>
            <w:vAlign w:val="center"/>
            <w:hideMark/>
          </w:tcPr>
          <w:p w14:paraId="785E9500"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Speed of </w:t>
            </w:r>
            <w:proofErr w:type="spellStart"/>
            <w:r w:rsidRPr="00ED46E3">
              <w:rPr>
                <w:rFonts w:ascii="Arial" w:eastAsia="Times New Roman" w:hAnsi="Arial" w:cs="Arial"/>
                <w:b/>
                <w:bCs/>
                <w:color w:val="FFFFFF"/>
                <w:sz w:val="16"/>
                <w:szCs w:val="16"/>
                <w:lang w:val="fr-FR" w:eastAsia="ja-JP"/>
              </w:rPr>
              <w:t>execution</w:t>
            </w:r>
            <w:proofErr w:type="spellEnd"/>
          </w:p>
        </w:tc>
        <w:tc>
          <w:tcPr>
            <w:tcW w:w="995" w:type="dxa"/>
            <w:vMerge w:val="restart"/>
            <w:tcBorders>
              <w:top w:val="nil"/>
              <w:left w:val="nil"/>
              <w:bottom w:val="nil"/>
              <w:right w:val="nil"/>
            </w:tcBorders>
            <w:shd w:val="clear" w:color="000000" w:fill="538DD5"/>
            <w:vAlign w:val="center"/>
            <w:hideMark/>
          </w:tcPr>
          <w:p w14:paraId="5F871F5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Likelihood</w:t>
            </w:r>
            <w:proofErr w:type="spellEnd"/>
          </w:p>
        </w:tc>
        <w:tc>
          <w:tcPr>
            <w:tcW w:w="1418" w:type="dxa"/>
            <w:gridSpan w:val="2"/>
            <w:tcBorders>
              <w:top w:val="nil"/>
              <w:left w:val="nil"/>
              <w:bottom w:val="nil"/>
              <w:right w:val="nil"/>
            </w:tcBorders>
            <w:shd w:val="clear" w:color="000000" w:fill="538DD5"/>
            <w:noWrap/>
            <w:vAlign w:val="center"/>
            <w:hideMark/>
          </w:tcPr>
          <w:p w14:paraId="5DC9BCF2"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Order</w:t>
            </w:r>
            <w:proofErr w:type="spellEnd"/>
          </w:p>
        </w:tc>
        <w:tc>
          <w:tcPr>
            <w:tcW w:w="708" w:type="dxa"/>
            <w:vMerge w:val="restart"/>
            <w:tcBorders>
              <w:top w:val="nil"/>
              <w:left w:val="nil"/>
              <w:bottom w:val="nil"/>
              <w:right w:val="nil"/>
            </w:tcBorders>
            <w:shd w:val="clear" w:color="000000" w:fill="538DD5"/>
            <w:vAlign w:val="center"/>
            <w:hideMark/>
          </w:tcPr>
          <w:p w14:paraId="1F626B2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Client </w:t>
            </w:r>
            <w:proofErr w:type="spellStart"/>
            <w:r w:rsidRPr="00ED46E3">
              <w:rPr>
                <w:rFonts w:ascii="Arial" w:eastAsia="Times New Roman" w:hAnsi="Arial" w:cs="Arial"/>
                <w:b/>
                <w:bCs/>
                <w:color w:val="FFFFFF"/>
                <w:sz w:val="16"/>
                <w:szCs w:val="16"/>
                <w:lang w:val="fr-FR" w:eastAsia="ja-JP"/>
              </w:rPr>
              <w:t>Tiering</w:t>
            </w:r>
            <w:proofErr w:type="spellEnd"/>
          </w:p>
        </w:tc>
      </w:tr>
      <w:tr w:rsidR="00B41B29" w:rsidRPr="00ED46E3" w14:paraId="50E4C59E" w14:textId="77777777" w:rsidTr="00B41B29">
        <w:trPr>
          <w:trHeight w:val="63"/>
        </w:trPr>
        <w:tc>
          <w:tcPr>
            <w:tcW w:w="2410" w:type="dxa"/>
            <w:vMerge/>
            <w:tcBorders>
              <w:top w:val="nil"/>
              <w:left w:val="nil"/>
              <w:bottom w:val="nil"/>
              <w:right w:val="nil"/>
            </w:tcBorders>
            <w:vAlign w:val="center"/>
            <w:hideMark/>
          </w:tcPr>
          <w:p w14:paraId="7D65EE54"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2" w:type="dxa"/>
            <w:vMerge/>
            <w:tcBorders>
              <w:top w:val="nil"/>
              <w:left w:val="nil"/>
              <w:bottom w:val="nil"/>
              <w:right w:val="nil"/>
            </w:tcBorders>
            <w:vAlign w:val="center"/>
            <w:hideMark/>
          </w:tcPr>
          <w:p w14:paraId="4A7508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vMerge/>
            <w:tcBorders>
              <w:top w:val="nil"/>
              <w:left w:val="nil"/>
              <w:bottom w:val="nil"/>
              <w:right w:val="nil"/>
            </w:tcBorders>
            <w:vAlign w:val="center"/>
            <w:hideMark/>
          </w:tcPr>
          <w:p w14:paraId="06C9485B"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1134" w:type="dxa"/>
            <w:vMerge/>
            <w:tcBorders>
              <w:top w:val="nil"/>
              <w:left w:val="nil"/>
              <w:bottom w:val="nil"/>
              <w:right w:val="nil"/>
            </w:tcBorders>
            <w:vAlign w:val="center"/>
            <w:hideMark/>
          </w:tcPr>
          <w:p w14:paraId="72E96FC5"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5" w:type="dxa"/>
            <w:vMerge/>
            <w:tcBorders>
              <w:top w:val="nil"/>
              <w:left w:val="nil"/>
              <w:bottom w:val="nil"/>
              <w:right w:val="nil"/>
            </w:tcBorders>
            <w:vAlign w:val="center"/>
            <w:hideMark/>
          </w:tcPr>
          <w:p w14:paraId="0071D8E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tcBorders>
              <w:top w:val="nil"/>
              <w:left w:val="nil"/>
              <w:bottom w:val="nil"/>
              <w:right w:val="nil"/>
            </w:tcBorders>
            <w:shd w:val="clear" w:color="000000" w:fill="538DD5"/>
            <w:noWrap/>
            <w:vAlign w:val="center"/>
            <w:hideMark/>
          </w:tcPr>
          <w:p w14:paraId="2A9B8F0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Size</w:t>
            </w:r>
          </w:p>
        </w:tc>
        <w:tc>
          <w:tcPr>
            <w:tcW w:w="567" w:type="dxa"/>
            <w:tcBorders>
              <w:top w:val="nil"/>
              <w:left w:val="nil"/>
              <w:bottom w:val="nil"/>
              <w:right w:val="nil"/>
            </w:tcBorders>
            <w:shd w:val="clear" w:color="000000" w:fill="538DD5"/>
            <w:noWrap/>
            <w:vAlign w:val="center"/>
            <w:hideMark/>
          </w:tcPr>
          <w:p w14:paraId="2CCBE43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Type</w:t>
            </w:r>
          </w:p>
        </w:tc>
        <w:tc>
          <w:tcPr>
            <w:tcW w:w="708" w:type="dxa"/>
            <w:vMerge/>
            <w:tcBorders>
              <w:top w:val="nil"/>
              <w:left w:val="nil"/>
              <w:bottom w:val="nil"/>
              <w:right w:val="nil"/>
            </w:tcBorders>
            <w:vAlign w:val="center"/>
            <w:hideMark/>
          </w:tcPr>
          <w:p w14:paraId="24FE753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r>
      <w:tr w:rsidR="00ED46E3" w:rsidRPr="00ED46E3" w14:paraId="4A3C1DDC" w14:textId="77777777" w:rsidTr="00B41B29">
        <w:trPr>
          <w:trHeight w:val="63"/>
        </w:trPr>
        <w:tc>
          <w:tcPr>
            <w:tcW w:w="8508" w:type="dxa"/>
            <w:gridSpan w:val="8"/>
            <w:tcBorders>
              <w:top w:val="nil"/>
              <w:left w:val="nil"/>
              <w:bottom w:val="nil"/>
              <w:right w:val="nil"/>
            </w:tcBorders>
            <w:shd w:val="clear" w:color="000000" w:fill="8DB4E2"/>
            <w:vAlign w:val="center"/>
            <w:hideMark/>
          </w:tcPr>
          <w:p w14:paraId="737E2AC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FX</w:t>
            </w:r>
          </w:p>
        </w:tc>
      </w:tr>
      <w:tr w:rsidR="00B41B29" w:rsidRPr="00ED46E3" w14:paraId="19D1166D" w14:textId="77777777" w:rsidTr="00B41B29">
        <w:trPr>
          <w:trHeight w:val="135"/>
        </w:trPr>
        <w:tc>
          <w:tcPr>
            <w:tcW w:w="2410" w:type="dxa"/>
            <w:tcBorders>
              <w:top w:val="single" w:sz="4" w:space="0" w:color="4F81BD"/>
              <w:left w:val="nil"/>
              <w:bottom w:val="nil"/>
              <w:right w:val="nil"/>
            </w:tcBorders>
            <w:shd w:val="clear" w:color="DCE6F1" w:fill="DCE6F1"/>
            <w:vAlign w:val="center"/>
            <w:hideMark/>
          </w:tcPr>
          <w:p w14:paraId="7F526DA4"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FX Option</w:t>
            </w:r>
          </w:p>
        </w:tc>
        <w:tc>
          <w:tcPr>
            <w:tcW w:w="992" w:type="dxa"/>
            <w:tcBorders>
              <w:top w:val="single" w:sz="4" w:space="0" w:color="4F81BD"/>
              <w:left w:val="nil"/>
              <w:bottom w:val="nil"/>
              <w:right w:val="nil"/>
            </w:tcBorders>
            <w:shd w:val="clear" w:color="DCE6F1" w:fill="DCE6F1"/>
            <w:noWrap/>
            <w:vAlign w:val="center"/>
            <w:hideMark/>
          </w:tcPr>
          <w:p w14:paraId="18451BE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2E4D03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1134" w:type="dxa"/>
            <w:tcBorders>
              <w:top w:val="single" w:sz="4" w:space="0" w:color="4F81BD"/>
              <w:left w:val="nil"/>
              <w:bottom w:val="nil"/>
              <w:right w:val="nil"/>
            </w:tcBorders>
            <w:shd w:val="clear" w:color="DCE6F1" w:fill="DCE6F1"/>
            <w:noWrap/>
            <w:vAlign w:val="center"/>
            <w:hideMark/>
          </w:tcPr>
          <w:p w14:paraId="5B8F0C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single" w:sz="4" w:space="0" w:color="4F81BD"/>
              <w:left w:val="nil"/>
              <w:bottom w:val="nil"/>
              <w:right w:val="nil"/>
            </w:tcBorders>
            <w:shd w:val="clear" w:color="DCE6F1" w:fill="DCE6F1"/>
            <w:noWrap/>
            <w:vAlign w:val="center"/>
            <w:hideMark/>
          </w:tcPr>
          <w:p w14:paraId="19D5B1A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851" w:type="dxa"/>
            <w:tcBorders>
              <w:top w:val="single" w:sz="4" w:space="0" w:color="4F81BD"/>
              <w:left w:val="nil"/>
              <w:bottom w:val="nil"/>
              <w:right w:val="nil"/>
            </w:tcBorders>
            <w:shd w:val="clear" w:color="DCE6F1" w:fill="DCE6F1"/>
            <w:noWrap/>
            <w:vAlign w:val="center"/>
            <w:hideMark/>
          </w:tcPr>
          <w:p w14:paraId="360DAC5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single" w:sz="4" w:space="0" w:color="4F81BD"/>
              <w:left w:val="nil"/>
              <w:bottom w:val="nil"/>
              <w:right w:val="nil"/>
            </w:tcBorders>
            <w:shd w:val="clear" w:color="DCE6F1" w:fill="DCE6F1"/>
            <w:noWrap/>
            <w:vAlign w:val="center"/>
            <w:hideMark/>
          </w:tcPr>
          <w:p w14:paraId="459A2A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single" w:sz="4" w:space="0" w:color="4F81BD"/>
              <w:left w:val="nil"/>
              <w:bottom w:val="nil"/>
              <w:right w:val="nil"/>
            </w:tcBorders>
            <w:shd w:val="clear" w:color="DCE6F1" w:fill="DCE6F1"/>
            <w:noWrap/>
            <w:vAlign w:val="center"/>
            <w:hideMark/>
          </w:tcPr>
          <w:p w14:paraId="466E8AD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r>
      <w:tr w:rsidR="00B41B29" w:rsidRPr="00ED46E3" w14:paraId="62B9AE87" w14:textId="77777777" w:rsidTr="00B41B29">
        <w:trPr>
          <w:trHeight w:val="142"/>
        </w:trPr>
        <w:tc>
          <w:tcPr>
            <w:tcW w:w="2410" w:type="dxa"/>
            <w:tcBorders>
              <w:top w:val="nil"/>
              <w:left w:val="nil"/>
              <w:bottom w:val="single" w:sz="4" w:space="0" w:color="4F81BD"/>
              <w:right w:val="nil"/>
            </w:tcBorders>
            <w:shd w:val="clear" w:color="auto" w:fill="auto"/>
            <w:vAlign w:val="center"/>
            <w:hideMark/>
          </w:tcPr>
          <w:p w14:paraId="05560F8B"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Spot / Linear FX</w:t>
            </w:r>
          </w:p>
        </w:tc>
        <w:tc>
          <w:tcPr>
            <w:tcW w:w="992" w:type="dxa"/>
            <w:tcBorders>
              <w:top w:val="nil"/>
              <w:left w:val="nil"/>
              <w:bottom w:val="single" w:sz="4" w:space="0" w:color="4F81BD"/>
              <w:right w:val="nil"/>
            </w:tcBorders>
            <w:shd w:val="clear" w:color="auto" w:fill="auto"/>
            <w:noWrap/>
            <w:vAlign w:val="center"/>
            <w:hideMark/>
          </w:tcPr>
          <w:p w14:paraId="519F06F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5CDADF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53BA9DE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3947CAE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23FFE0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auto" w:fill="auto"/>
            <w:noWrap/>
            <w:vAlign w:val="center"/>
            <w:hideMark/>
          </w:tcPr>
          <w:p w14:paraId="3C00FA8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4F81BD"/>
              <w:right w:val="nil"/>
            </w:tcBorders>
            <w:shd w:val="clear" w:color="auto" w:fill="auto"/>
            <w:noWrap/>
            <w:vAlign w:val="center"/>
            <w:hideMark/>
          </w:tcPr>
          <w:p w14:paraId="0C98F34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ED46E3" w:rsidRPr="00ED46E3" w14:paraId="4B958453" w14:textId="77777777" w:rsidTr="00B41B29">
        <w:trPr>
          <w:trHeight w:val="153"/>
        </w:trPr>
        <w:tc>
          <w:tcPr>
            <w:tcW w:w="8508" w:type="dxa"/>
            <w:gridSpan w:val="8"/>
            <w:tcBorders>
              <w:top w:val="nil"/>
              <w:left w:val="nil"/>
              <w:bottom w:val="nil"/>
              <w:right w:val="nil"/>
            </w:tcBorders>
            <w:shd w:val="clear" w:color="000000" w:fill="8DB4E2"/>
            <w:vAlign w:val="center"/>
            <w:hideMark/>
          </w:tcPr>
          <w:p w14:paraId="086952AE"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Credit</w:t>
            </w:r>
            <w:proofErr w:type="spellEnd"/>
          </w:p>
        </w:tc>
      </w:tr>
      <w:tr w:rsidR="00B41B29" w:rsidRPr="00ED46E3" w14:paraId="32F3B02C"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20236F3"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Covered</w:t>
            </w:r>
            <w:proofErr w:type="spellEnd"/>
            <w:r w:rsidRPr="00ED46E3">
              <w:rPr>
                <w:rFonts w:ascii="Arial" w:eastAsia="Times New Roman" w:hAnsi="Arial" w:cs="Arial"/>
                <w:sz w:val="16"/>
                <w:szCs w:val="16"/>
                <w:lang w:val="fr-FR" w:eastAsia="ja-JP"/>
              </w:rPr>
              <w:t xml:space="preserve"> Bonds </w:t>
            </w:r>
          </w:p>
        </w:tc>
        <w:tc>
          <w:tcPr>
            <w:tcW w:w="992" w:type="dxa"/>
            <w:tcBorders>
              <w:top w:val="single" w:sz="4" w:space="0" w:color="4F81BD"/>
              <w:left w:val="nil"/>
              <w:bottom w:val="nil"/>
              <w:right w:val="nil"/>
            </w:tcBorders>
            <w:shd w:val="clear" w:color="DCE6F1" w:fill="DCE6F1"/>
            <w:noWrap/>
            <w:vAlign w:val="center"/>
            <w:hideMark/>
          </w:tcPr>
          <w:p w14:paraId="6A02D71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0A02DD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single" w:sz="4" w:space="0" w:color="4F81BD"/>
              <w:left w:val="nil"/>
              <w:bottom w:val="nil"/>
              <w:right w:val="nil"/>
            </w:tcBorders>
            <w:shd w:val="clear" w:color="DCE6F1" w:fill="DCE6F1"/>
            <w:noWrap/>
            <w:vAlign w:val="center"/>
            <w:hideMark/>
          </w:tcPr>
          <w:p w14:paraId="2AFB6E8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single" w:sz="4" w:space="0" w:color="4F81BD"/>
              <w:left w:val="nil"/>
              <w:bottom w:val="nil"/>
              <w:right w:val="nil"/>
            </w:tcBorders>
            <w:shd w:val="clear" w:color="DCE6F1" w:fill="DCE6F1"/>
            <w:noWrap/>
            <w:vAlign w:val="center"/>
            <w:hideMark/>
          </w:tcPr>
          <w:p w14:paraId="0ACB086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single" w:sz="4" w:space="0" w:color="4F81BD"/>
              <w:left w:val="nil"/>
              <w:bottom w:val="nil"/>
              <w:right w:val="nil"/>
            </w:tcBorders>
            <w:shd w:val="clear" w:color="DCE6F1" w:fill="DCE6F1"/>
            <w:noWrap/>
            <w:vAlign w:val="center"/>
            <w:hideMark/>
          </w:tcPr>
          <w:p w14:paraId="2A0D4F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single" w:sz="4" w:space="0" w:color="4F81BD"/>
              <w:left w:val="nil"/>
              <w:bottom w:val="nil"/>
              <w:right w:val="nil"/>
            </w:tcBorders>
            <w:shd w:val="clear" w:color="DCE6F1" w:fill="DCE6F1"/>
            <w:noWrap/>
            <w:vAlign w:val="center"/>
            <w:hideMark/>
          </w:tcPr>
          <w:p w14:paraId="5BC0E78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single" w:sz="4" w:space="0" w:color="4F81BD"/>
              <w:left w:val="nil"/>
              <w:bottom w:val="nil"/>
              <w:right w:val="nil"/>
            </w:tcBorders>
            <w:shd w:val="clear" w:color="DCE6F1" w:fill="DCE6F1"/>
            <w:noWrap/>
            <w:vAlign w:val="center"/>
            <w:hideMark/>
          </w:tcPr>
          <w:p w14:paraId="127F267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5819D2B2" w14:textId="77777777" w:rsidTr="00B41B29">
        <w:trPr>
          <w:trHeight w:val="63"/>
        </w:trPr>
        <w:tc>
          <w:tcPr>
            <w:tcW w:w="2410" w:type="dxa"/>
            <w:tcBorders>
              <w:top w:val="nil"/>
              <w:left w:val="nil"/>
              <w:bottom w:val="nil"/>
              <w:right w:val="nil"/>
            </w:tcBorders>
            <w:shd w:val="clear" w:color="auto" w:fill="auto"/>
            <w:vAlign w:val="center"/>
            <w:hideMark/>
          </w:tcPr>
          <w:p w14:paraId="49BA5503"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Investment </w:t>
            </w:r>
            <w:proofErr w:type="spellStart"/>
            <w:r w:rsidRPr="00ED46E3">
              <w:rPr>
                <w:rFonts w:ascii="Arial" w:eastAsia="Times New Roman" w:hAnsi="Arial" w:cs="Arial"/>
                <w:sz w:val="16"/>
                <w:szCs w:val="16"/>
                <w:lang w:val="fr-FR" w:eastAsia="ja-JP"/>
              </w:rPr>
              <w:t>Frade</w:t>
            </w:r>
            <w:proofErr w:type="spellEnd"/>
          </w:p>
        </w:tc>
        <w:tc>
          <w:tcPr>
            <w:tcW w:w="992" w:type="dxa"/>
            <w:tcBorders>
              <w:top w:val="nil"/>
              <w:left w:val="nil"/>
              <w:bottom w:val="nil"/>
              <w:right w:val="nil"/>
            </w:tcBorders>
            <w:shd w:val="clear" w:color="auto" w:fill="auto"/>
            <w:noWrap/>
            <w:vAlign w:val="center"/>
            <w:hideMark/>
          </w:tcPr>
          <w:p w14:paraId="0C5C23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45C867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342D6A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auto" w:fill="auto"/>
            <w:noWrap/>
            <w:vAlign w:val="center"/>
            <w:hideMark/>
          </w:tcPr>
          <w:p w14:paraId="4D4A34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32DAC85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E44AB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7B71CE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1A04339D" w14:textId="77777777" w:rsidTr="00B41B29">
        <w:trPr>
          <w:trHeight w:val="63"/>
        </w:trPr>
        <w:tc>
          <w:tcPr>
            <w:tcW w:w="2410" w:type="dxa"/>
            <w:tcBorders>
              <w:top w:val="nil"/>
              <w:left w:val="nil"/>
              <w:bottom w:val="nil"/>
              <w:right w:val="nil"/>
            </w:tcBorders>
            <w:shd w:val="clear" w:color="DCE6F1" w:fill="DCE6F1"/>
            <w:vAlign w:val="center"/>
            <w:hideMark/>
          </w:tcPr>
          <w:p w14:paraId="71B4CB68"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Emerging</w:t>
            </w:r>
            <w:proofErr w:type="spellEnd"/>
            <w:r w:rsidRPr="00ED46E3">
              <w:rPr>
                <w:rFonts w:ascii="Arial" w:eastAsia="Times New Roman" w:hAnsi="Arial" w:cs="Arial"/>
                <w:sz w:val="16"/>
                <w:szCs w:val="16"/>
                <w:lang w:val="fr-FR" w:eastAsia="ja-JP"/>
              </w:rPr>
              <w:t xml:space="preserve"> Markets</w:t>
            </w:r>
          </w:p>
        </w:tc>
        <w:tc>
          <w:tcPr>
            <w:tcW w:w="992" w:type="dxa"/>
            <w:tcBorders>
              <w:top w:val="nil"/>
              <w:left w:val="nil"/>
              <w:bottom w:val="nil"/>
              <w:right w:val="nil"/>
            </w:tcBorders>
            <w:shd w:val="clear" w:color="DCE6F1" w:fill="DCE6F1"/>
            <w:noWrap/>
            <w:vAlign w:val="center"/>
            <w:hideMark/>
          </w:tcPr>
          <w:p w14:paraId="3FEC3F5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65465EB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57AD881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374A0DB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2EFC933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2AA7D91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DCE6F1" w:fill="DCE6F1"/>
            <w:noWrap/>
            <w:vAlign w:val="center"/>
            <w:hideMark/>
          </w:tcPr>
          <w:p w14:paraId="043FAE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2A3F2220" w14:textId="77777777" w:rsidTr="00B41B29">
        <w:trPr>
          <w:trHeight w:val="93"/>
        </w:trPr>
        <w:tc>
          <w:tcPr>
            <w:tcW w:w="2410" w:type="dxa"/>
            <w:tcBorders>
              <w:top w:val="nil"/>
              <w:left w:val="nil"/>
              <w:bottom w:val="nil"/>
              <w:right w:val="nil"/>
            </w:tcBorders>
            <w:shd w:val="clear" w:color="auto" w:fill="auto"/>
            <w:vAlign w:val="center"/>
            <w:hideMark/>
          </w:tcPr>
          <w:p w14:paraId="2E3CC52F"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High </w:t>
            </w:r>
            <w:proofErr w:type="spellStart"/>
            <w:r w:rsidRPr="00ED46E3">
              <w:rPr>
                <w:rFonts w:ascii="Arial" w:eastAsia="Times New Roman" w:hAnsi="Arial" w:cs="Arial"/>
                <w:sz w:val="16"/>
                <w:szCs w:val="16"/>
                <w:lang w:val="fr-FR" w:eastAsia="ja-JP"/>
              </w:rPr>
              <w:t>Yield</w:t>
            </w:r>
            <w:proofErr w:type="spellEnd"/>
          </w:p>
        </w:tc>
        <w:tc>
          <w:tcPr>
            <w:tcW w:w="992" w:type="dxa"/>
            <w:tcBorders>
              <w:top w:val="nil"/>
              <w:left w:val="nil"/>
              <w:bottom w:val="nil"/>
              <w:right w:val="nil"/>
            </w:tcBorders>
            <w:shd w:val="clear" w:color="auto" w:fill="auto"/>
            <w:noWrap/>
            <w:vAlign w:val="center"/>
            <w:hideMark/>
          </w:tcPr>
          <w:p w14:paraId="6C6569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9D786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791FB53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078F87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4BE0F1A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FA285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68F215E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BC972D5" w14:textId="77777777" w:rsidTr="00B41B29">
        <w:trPr>
          <w:trHeight w:val="195"/>
        </w:trPr>
        <w:tc>
          <w:tcPr>
            <w:tcW w:w="2410" w:type="dxa"/>
            <w:tcBorders>
              <w:top w:val="nil"/>
              <w:left w:val="nil"/>
              <w:bottom w:val="nil"/>
              <w:right w:val="nil"/>
            </w:tcBorders>
            <w:shd w:val="clear" w:color="DCE6F1" w:fill="DCE6F1"/>
            <w:vAlign w:val="center"/>
            <w:hideMark/>
          </w:tcPr>
          <w:p w14:paraId="530CEBFB"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Medim</w:t>
            </w:r>
            <w:proofErr w:type="spellEnd"/>
            <w:r w:rsidRPr="00ED46E3">
              <w:rPr>
                <w:rFonts w:ascii="Arial" w:eastAsia="Times New Roman" w:hAnsi="Arial" w:cs="Arial"/>
                <w:sz w:val="16"/>
                <w:szCs w:val="16"/>
                <w:lang w:val="fr-FR" w:eastAsia="ja-JP"/>
              </w:rPr>
              <w:t xml:space="preserve"> </w:t>
            </w:r>
            <w:proofErr w:type="spellStart"/>
            <w:r w:rsidRPr="00ED46E3">
              <w:rPr>
                <w:rFonts w:ascii="Arial" w:eastAsia="Times New Roman" w:hAnsi="Arial" w:cs="Arial"/>
                <w:sz w:val="16"/>
                <w:szCs w:val="16"/>
                <w:lang w:val="fr-FR" w:eastAsia="ja-JP"/>
              </w:rPr>
              <w:t>Term</w:t>
            </w:r>
            <w:proofErr w:type="spellEnd"/>
            <w:r w:rsidRPr="00ED46E3">
              <w:rPr>
                <w:rFonts w:ascii="Arial" w:eastAsia="Times New Roman" w:hAnsi="Arial" w:cs="Arial"/>
                <w:sz w:val="16"/>
                <w:szCs w:val="16"/>
                <w:lang w:val="fr-FR" w:eastAsia="ja-JP"/>
              </w:rPr>
              <w:t xml:space="preserve"> Notes </w:t>
            </w:r>
          </w:p>
        </w:tc>
        <w:tc>
          <w:tcPr>
            <w:tcW w:w="992" w:type="dxa"/>
            <w:tcBorders>
              <w:top w:val="nil"/>
              <w:left w:val="nil"/>
              <w:bottom w:val="nil"/>
              <w:right w:val="nil"/>
            </w:tcBorders>
            <w:shd w:val="clear" w:color="DCE6F1" w:fill="DCE6F1"/>
            <w:noWrap/>
            <w:vAlign w:val="center"/>
            <w:hideMark/>
          </w:tcPr>
          <w:p w14:paraId="31C5EB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0E970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6696BC3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bookmarkStart w:id="0" w:name="_GoBack"/>
            <w:bookmarkEnd w:id="0"/>
          </w:p>
        </w:tc>
        <w:tc>
          <w:tcPr>
            <w:tcW w:w="995" w:type="dxa"/>
            <w:tcBorders>
              <w:top w:val="nil"/>
              <w:left w:val="nil"/>
              <w:bottom w:val="nil"/>
              <w:right w:val="nil"/>
            </w:tcBorders>
            <w:shd w:val="clear" w:color="DCE6F1" w:fill="DCE6F1"/>
            <w:noWrap/>
            <w:vAlign w:val="center"/>
            <w:hideMark/>
          </w:tcPr>
          <w:p w14:paraId="3FBF03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851" w:type="dxa"/>
            <w:tcBorders>
              <w:top w:val="nil"/>
              <w:left w:val="nil"/>
              <w:bottom w:val="nil"/>
              <w:right w:val="nil"/>
            </w:tcBorders>
            <w:shd w:val="clear" w:color="DCE6F1" w:fill="DCE6F1"/>
            <w:noWrap/>
            <w:vAlign w:val="center"/>
            <w:hideMark/>
          </w:tcPr>
          <w:p w14:paraId="1E05E6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636882B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708" w:type="dxa"/>
            <w:tcBorders>
              <w:top w:val="nil"/>
              <w:left w:val="nil"/>
              <w:bottom w:val="nil"/>
              <w:right w:val="nil"/>
            </w:tcBorders>
            <w:shd w:val="clear" w:color="DCE6F1" w:fill="DCE6F1"/>
            <w:noWrap/>
            <w:vAlign w:val="center"/>
            <w:hideMark/>
          </w:tcPr>
          <w:p w14:paraId="3B6B3B2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B41B29" w:rsidRPr="00ED46E3" w14:paraId="3F16D9CD" w14:textId="77777777" w:rsidTr="00B41B29">
        <w:trPr>
          <w:trHeight w:val="155"/>
        </w:trPr>
        <w:tc>
          <w:tcPr>
            <w:tcW w:w="2410" w:type="dxa"/>
            <w:tcBorders>
              <w:top w:val="nil"/>
              <w:left w:val="nil"/>
              <w:bottom w:val="nil"/>
              <w:right w:val="nil"/>
            </w:tcBorders>
            <w:shd w:val="clear" w:color="auto" w:fill="auto"/>
            <w:vAlign w:val="center"/>
            <w:hideMark/>
          </w:tcPr>
          <w:p w14:paraId="1A470E2D"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Retail</w:t>
            </w:r>
            <w:proofErr w:type="spellEnd"/>
          </w:p>
        </w:tc>
        <w:tc>
          <w:tcPr>
            <w:tcW w:w="992" w:type="dxa"/>
            <w:tcBorders>
              <w:top w:val="nil"/>
              <w:left w:val="nil"/>
              <w:bottom w:val="nil"/>
              <w:right w:val="nil"/>
            </w:tcBorders>
            <w:shd w:val="clear" w:color="auto" w:fill="auto"/>
            <w:noWrap/>
            <w:vAlign w:val="center"/>
            <w:hideMark/>
          </w:tcPr>
          <w:p w14:paraId="32F7A2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61108E0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5326BE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05E61B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FD68A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47D209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nil"/>
              <w:right w:val="nil"/>
            </w:tcBorders>
            <w:shd w:val="clear" w:color="auto" w:fill="auto"/>
            <w:noWrap/>
            <w:vAlign w:val="center"/>
            <w:hideMark/>
          </w:tcPr>
          <w:p w14:paraId="3F5871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4E45E6FE" w14:textId="77777777" w:rsidTr="00B41B29">
        <w:trPr>
          <w:trHeight w:val="243"/>
        </w:trPr>
        <w:tc>
          <w:tcPr>
            <w:tcW w:w="2410" w:type="dxa"/>
            <w:tcBorders>
              <w:top w:val="nil"/>
              <w:left w:val="nil"/>
              <w:bottom w:val="nil"/>
              <w:right w:val="nil"/>
            </w:tcBorders>
            <w:shd w:val="clear" w:color="DCE6F1" w:fill="DCE6F1"/>
            <w:vAlign w:val="center"/>
            <w:hideMark/>
          </w:tcPr>
          <w:p w14:paraId="6AAE655C"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nil"/>
              <w:left w:val="nil"/>
              <w:bottom w:val="nil"/>
              <w:right w:val="nil"/>
            </w:tcBorders>
            <w:shd w:val="clear" w:color="DCE6F1" w:fill="DCE6F1"/>
            <w:noWrap/>
            <w:vAlign w:val="center"/>
            <w:hideMark/>
          </w:tcPr>
          <w:p w14:paraId="3F737D19"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nil"/>
              <w:left w:val="nil"/>
              <w:bottom w:val="nil"/>
              <w:right w:val="nil"/>
            </w:tcBorders>
            <w:shd w:val="clear" w:color="DCE6F1" w:fill="DCE6F1"/>
            <w:noWrap/>
            <w:vAlign w:val="center"/>
            <w:hideMark/>
          </w:tcPr>
          <w:p w14:paraId="4C92F9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nil"/>
              <w:left w:val="nil"/>
              <w:bottom w:val="nil"/>
              <w:right w:val="nil"/>
            </w:tcBorders>
            <w:shd w:val="clear" w:color="DCE6F1" w:fill="DCE6F1"/>
            <w:noWrap/>
            <w:vAlign w:val="center"/>
            <w:hideMark/>
          </w:tcPr>
          <w:p w14:paraId="3D7B9AE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nil"/>
              <w:left w:val="nil"/>
              <w:bottom w:val="nil"/>
              <w:right w:val="nil"/>
            </w:tcBorders>
            <w:shd w:val="clear" w:color="DCE6F1" w:fill="DCE6F1"/>
            <w:noWrap/>
            <w:vAlign w:val="center"/>
            <w:hideMark/>
          </w:tcPr>
          <w:p w14:paraId="49F1F76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nil"/>
              <w:left w:val="nil"/>
              <w:bottom w:val="nil"/>
              <w:right w:val="nil"/>
            </w:tcBorders>
            <w:shd w:val="clear" w:color="DCE6F1" w:fill="DCE6F1"/>
            <w:noWrap/>
            <w:vAlign w:val="center"/>
            <w:hideMark/>
          </w:tcPr>
          <w:p w14:paraId="62AD8E7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nil"/>
              <w:left w:val="nil"/>
              <w:bottom w:val="nil"/>
              <w:right w:val="nil"/>
            </w:tcBorders>
            <w:shd w:val="clear" w:color="DCE6F1" w:fill="DCE6F1"/>
            <w:noWrap/>
            <w:vAlign w:val="center"/>
            <w:hideMark/>
          </w:tcPr>
          <w:p w14:paraId="37409B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nil"/>
              <w:left w:val="nil"/>
              <w:bottom w:val="nil"/>
              <w:right w:val="nil"/>
            </w:tcBorders>
            <w:shd w:val="clear" w:color="DCE6F1" w:fill="DCE6F1"/>
            <w:noWrap/>
            <w:vAlign w:val="center"/>
            <w:hideMark/>
          </w:tcPr>
          <w:p w14:paraId="4488C6F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94E3F39" w14:textId="77777777" w:rsidTr="00B41B29">
        <w:trPr>
          <w:trHeight w:val="147"/>
        </w:trPr>
        <w:tc>
          <w:tcPr>
            <w:tcW w:w="2410" w:type="dxa"/>
            <w:tcBorders>
              <w:top w:val="nil"/>
              <w:left w:val="nil"/>
              <w:bottom w:val="single" w:sz="4" w:space="0" w:color="4F81BD"/>
              <w:right w:val="nil"/>
            </w:tcBorders>
            <w:shd w:val="clear" w:color="auto" w:fill="auto"/>
            <w:vAlign w:val="center"/>
            <w:hideMark/>
          </w:tcPr>
          <w:p w14:paraId="6ABB8260"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Bonds</w:t>
            </w:r>
          </w:p>
        </w:tc>
        <w:tc>
          <w:tcPr>
            <w:tcW w:w="992" w:type="dxa"/>
            <w:tcBorders>
              <w:top w:val="nil"/>
              <w:left w:val="nil"/>
              <w:bottom w:val="single" w:sz="4" w:space="0" w:color="4F81BD"/>
              <w:right w:val="nil"/>
            </w:tcBorders>
            <w:shd w:val="clear" w:color="auto" w:fill="auto"/>
            <w:noWrap/>
            <w:vAlign w:val="center"/>
            <w:hideMark/>
          </w:tcPr>
          <w:p w14:paraId="3685907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3D04EFA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4F81BD"/>
              <w:right w:val="nil"/>
            </w:tcBorders>
            <w:shd w:val="clear" w:color="auto" w:fill="auto"/>
            <w:noWrap/>
            <w:vAlign w:val="center"/>
            <w:hideMark/>
          </w:tcPr>
          <w:p w14:paraId="016B27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06E84AE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88F420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4AE533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single" w:sz="4" w:space="0" w:color="4F81BD"/>
              <w:right w:val="nil"/>
            </w:tcBorders>
            <w:shd w:val="clear" w:color="auto" w:fill="auto"/>
            <w:noWrap/>
            <w:vAlign w:val="center"/>
            <w:hideMark/>
          </w:tcPr>
          <w:p w14:paraId="55FEC1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974792" w:rsidRPr="00ED46E3" w14:paraId="4D5ED7B7" w14:textId="77777777" w:rsidTr="00B41B29">
        <w:trPr>
          <w:trHeight w:val="98"/>
        </w:trPr>
        <w:tc>
          <w:tcPr>
            <w:tcW w:w="2410" w:type="dxa"/>
            <w:tcBorders>
              <w:top w:val="nil"/>
              <w:left w:val="nil"/>
              <w:bottom w:val="nil"/>
              <w:right w:val="nil"/>
            </w:tcBorders>
            <w:shd w:val="clear" w:color="000000" w:fill="8DB4E2"/>
            <w:vAlign w:val="center"/>
            <w:hideMark/>
          </w:tcPr>
          <w:p w14:paraId="39DC270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Equity</w:t>
            </w:r>
            <w:proofErr w:type="spellEnd"/>
          </w:p>
        </w:tc>
        <w:tc>
          <w:tcPr>
            <w:tcW w:w="992" w:type="dxa"/>
            <w:tcBorders>
              <w:top w:val="nil"/>
              <w:left w:val="nil"/>
              <w:bottom w:val="nil"/>
              <w:right w:val="nil"/>
            </w:tcBorders>
            <w:shd w:val="clear" w:color="000000" w:fill="8DB4E2"/>
            <w:vAlign w:val="center"/>
            <w:hideMark/>
          </w:tcPr>
          <w:p w14:paraId="4DD20FA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0EAF91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064095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18C6EDD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29F94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5F0610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06AA467D"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0FCAD7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A866B0F"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Equity</w:t>
            </w:r>
            <w:proofErr w:type="spellEnd"/>
            <w:r w:rsidRPr="00ED46E3">
              <w:rPr>
                <w:rFonts w:ascii="Arial" w:eastAsia="Times New Roman" w:hAnsi="Arial" w:cs="Arial"/>
                <w:b/>
                <w:bCs/>
                <w:sz w:val="16"/>
                <w:szCs w:val="16"/>
                <w:lang w:val="fr-FR" w:eastAsia="ja-JP"/>
              </w:rPr>
              <w:t xml:space="preserve">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21C607A7"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52046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022BEC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6A1F1E9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6E63F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0A28D45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5B66BF6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24745A0" w14:textId="77777777" w:rsidTr="00B41B29">
        <w:trPr>
          <w:trHeight w:val="283"/>
        </w:trPr>
        <w:tc>
          <w:tcPr>
            <w:tcW w:w="2410" w:type="dxa"/>
            <w:tcBorders>
              <w:top w:val="nil"/>
              <w:left w:val="nil"/>
              <w:bottom w:val="nil"/>
              <w:right w:val="nil"/>
            </w:tcBorders>
            <w:shd w:val="clear" w:color="auto" w:fill="auto"/>
            <w:vAlign w:val="center"/>
            <w:hideMark/>
          </w:tcPr>
          <w:p w14:paraId="73AC8DC4"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and other equity derivatives</w:t>
            </w:r>
          </w:p>
        </w:tc>
        <w:tc>
          <w:tcPr>
            <w:tcW w:w="992" w:type="dxa"/>
            <w:tcBorders>
              <w:top w:val="nil"/>
              <w:left w:val="nil"/>
              <w:bottom w:val="nil"/>
              <w:right w:val="nil"/>
            </w:tcBorders>
            <w:shd w:val="clear" w:color="auto" w:fill="auto"/>
            <w:noWrap/>
            <w:vAlign w:val="center"/>
            <w:hideMark/>
          </w:tcPr>
          <w:p w14:paraId="3DC7848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A34E1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49CA21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6A6A43A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B3433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D26D9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nil"/>
              <w:right w:val="nil"/>
            </w:tcBorders>
            <w:shd w:val="clear" w:color="auto" w:fill="auto"/>
            <w:noWrap/>
            <w:vAlign w:val="center"/>
            <w:hideMark/>
          </w:tcPr>
          <w:p w14:paraId="167F074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65AD678" w14:textId="77777777" w:rsidTr="00B41B29">
        <w:trPr>
          <w:trHeight w:val="189"/>
        </w:trPr>
        <w:tc>
          <w:tcPr>
            <w:tcW w:w="2410" w:type="dxa"/>
            <w:tcBorders>
              <w:top w:val="nil"/>
              <w:left w:val="nil"/>
              <w:bottom w:val="single" w:sz="4" w:space="0" w:color="4F81BD"/>
              <w:right w:val="nil"/>
            </w:tcBorders>
            <w:shd w:val="clear" w:color="DCE6F1" w:fill="DCE6F1"/>
            <w:vAlign w:val="center"/>
            <w:hideMark/>
          </w:tcPr>
          <w:p w14:paraId="2346D741"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Convertibles</w:t>
            </w:r>
          </w:p>
        </w:tc>
        <w:tc>
          <w:tcPr>
            <w:tcW w:w="992" w:type="dxa"/>
            <w:tcBorders>
              <w:top w:val="nil"/>
              <w:left w:val="nil"/>
              <w:bottom w:val="single" w:sz="4" w:space="0" w:color="4F81BD"/>
              <w:right w:val="nil"/>
            </w:tcBorders>
            <w:shd w:val="clear" w:color="DCE6F1" w:fill="DCE6F1"/>
            <w:noWrap/>
            <w:vAlign w:val="center"/>
            <w:hideMark/>
          </w:tcPr>
          <w:p w14:paraId="6FBCA11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327BFB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DCE6F1" w:fill="DCE6F1"/>
            <w:noWrap/>
            <w:vAlign w:val="center"/>
            <w:hideMark/>
          </w:tcPr>
          <w:p w14:paraId="597857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DCE6F1" w:fill="DCE6F1"/>
            <w:noWrap/>
            <w:vAlign w:val="center"/>
            <w:hideMark/>
          </w:tcPr>
          <w:p w14:paraId="78C068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087851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DCE6F1" w:fill="DCE6F1"/>
            <w:noWrap/>
            <w:vAlign w:val="center"/>
            <w:hideMark/>
          </w:tcPr>
          <w:p w14:paraId="0ADE58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DCE6F1" w:fill="DCE6F1"/>
            <w:noWrap/>
            <w:vAlign w:val="center"/>
            <w:hideMark/>
          </w:tcPr>
          <w:p w14:paraId="0EF920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ED46E3" w:rsidRPr="00ED46E3" w14:paraId="3AC13A3D" w14:textId="77777777" w:rsidTr="00B41B29">
        <w:trPr>
          <w:trHeight w:val="281"/>
        </w:trPr>
        <w:tc>
          <w:tcPr>
            <w:tcW w:w="8508" w:type="dxa"/>
            <w:gridSpan w:val="8"/>
            <w:tcBorders>
              <w:top w:val="nil"/>
              <w:left w:val="nil"/>
              <w:bottom w:val="nil"/>
              <w:right w:val="nil"/>
            </w:tcBorders>
            <w:shd w:val="clear" w:color="000000" w:fill="8DB4E2"/>
            <w:vAlign w:val="center"/>
            <w:hideMark/>
          </w:tcPr>
          <w:p w14:paraId="65E26EC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Rates</w:t>
            </w:r>
          </w:p>
        </w:tc>
      </w:tr>
      <w:tr w:rsidR="00B41B29" w:rsidRPr="00ED46E3" w14:paraId="3A571C5C" w14:textId="77777777" w:rsidTr="00B41B29">
        <w:trPr>
          <w:trHeight w:val="130"/>
        </w:trPr>
        <w:tc>
          <w:tcPr>
            <w:tcW w:w="2410" w:type="dxa"/>
            <w:tcBorders>
              <w:top w:val="single" w:sz="4" w:space="0" w:color="4F81BD"/>
              <w:left w:val="nil"/>
              <w:bottom w:val="nil"/>
              <w:right w:val="nil"/>
            </w:tcBorders>
            <w:shd w:val="clear" w:color="DCE6F1" w:fill="DCE6F1"/>
            <w:vAlign w:val="center"/>
            <w:hideMark/>
          </w:tcPr>
          <w:p w14:paraId="21E3FD7E"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Interest</w:t>
            </w:r>
            <w:proofErr w:type="spellEnd"/>
            <w:r w:rsidRPr="00ED46E3">
              <w:rPr>
                <w:rFonts w:ascii="Arial" w:eastAsia="Times New Roman" w:hAnsi="Arial" w:cs="Arial"/>
                <w:b/>
                <w:bCs/>
                <w:sz w:val="16"/>
                <w:szCs w:val="16"/>
                <w:lang w:val="fr-FR" w:eastAsia="ja-JP"/>
              </w:rPr>
              <w:t xml:space="preserve"> rates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4280A19E"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5BC4F1E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2D802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28C592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3E94371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5713321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1675A5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CBBF203" w14:textId="77777777" w:rsidTr="00B41B29">
        <w:trPr>
          <w:trHeight w:val="217"/>
        </w:trPr>
        <w:tc>
          <w:tcPr>
            <w:tcW w:w="2410" w:type="dxa"/>
            <w:tcBorders>
              <w:top w:val="single" w:sz="4" w:space="0" w:color="92CDDC"/>
              <w:left w:val="nil"/>
              <w:bottom w:val="nil"/>
              <w:right w:val="nil"/>
            </w:tcBorders>
            <w:shd w:val="clear" w:color="auto" w:fill="auto"/>
            <w:vAlign w:val="center"/>
            <w:hideMark/>
          </w:tcPr>
          <w:p w14:paraId="3AE7DB40" w14:textId="77777777" w:rsidR="00ED46E3" w:rsidRPr="00ED46E3" w:rsidRDefault="00ED46E3" w:rsidP="00ED46E3">
            <w:pPr>
              <w:spacing w:after="0" w:line="240" w:lineRule="auto"/>
              <w:jc w:val="right"/>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Futures and options admitted to trading on a trading venue </w:t>
            </w:r>
          </w:p>
        </w:tc>
        <w:tc>
          <w:tcPr>
            <w:tcW w:w="992" w:type="dxa"/>
            <w:tcBorders>
              <w:top w:val="single" w:sz="4" w:space="0" w:color="92CDDC"/>
              <w:left w:val="nil"/>
              <w:bottom w:val="nil"/>
              <w:right w:val="nil"/>
            </w:tcBorders>
            <w:shd w:val="clear" w:color="auto" w:fill="auto"/>
            <w:noWrap/>
            <w:vAlign w:val="center"/>
            <w:hideMark/>
          </w:tcPr>
          <w:p w14:paraId="6BD2FA51"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17D9EDFD"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1E8BC06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7261F44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32E644F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46F01EC7"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single" w:sz="4" w:space="0" w:color="92CDDC"/>
              <w:left w:val="nil"/>
              <w:bottom w:val="nil"/>
              <w:right w:val="nil"/>
            </w:tcBorders>
            <w:shd w:val="clear" w:color="auto" w:fill="auto"/>
            <w:noWrap/>
            <w:vAlign w:val="center"/>
            <w:hideMark/>
          </w:tcPr>
          <w:p w14:paraId="04D9A5D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4174190B" w14:textId="77777777" w:rsidTr="00B41B29">
        <w:trPr>
          <w:trHeight w:val="134"/>
        </w:trPr>
        <w:tc>
          <w:tcPr>
            <w:tcW w:w="2410" w:type="dxa"/>
            <w:tcBorders>
              <w:top w:val="nil"/>
              <w:left w:val="nil"/>
              <w:bottom w:val="single" w:sz="4" w:space="0" w:color="92CDDC"/>
              <w:right w:val="nil"/>
            </w:tcBorders>
            <w:shd w:val="clear" w:color="DCE6F1" w:fill="DCE6F1"/>
            <w:vAlign w:val="center"/>
            <w:hideMark/>
          </w:tcPr>
          <w:p w14:paraId="41402CD0"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DCE6F1" w:fill="DCE6F1"/>
            <w:noWrap/>
            <w:vAlign w:val="center"/>
            <w:hideMark/>
          </w:tcPr>
          <w:p w14:paraId="56040B9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743D8C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7843F2D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DCE6F1" w:fill="DCE6F1"/>
            <w:noWrap/>
            <w:vAlign w:val="center"/>
            <w:hideMark/>
          </w:tcPr>
          <w:p w14:paraId="61C9564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03FF2E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6FB7BA6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92CDDC"/>
              <w:right w:val="nil"/>
            </w:tcBorders>
            <w:shd w:val="clear" w:color="DCE6F1" w:fill="DCE6F1"/>
            <w:noWrap/>
            <w:vAlign w:val="center"/>
            <w:hideMark/>
          </w:tcPr>
          <w:p w14:paraId="7676AA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824E12E" w14:textId="77777777" w:rsidTr="00B41B29">
        <w:trPr>
          <w:trHeight w:val="225"/>
        </w:trPr>
        <w:tc>
          <w:tcPr>
            <w:tcW w:w="2410" w:type="dxa"/>
            <w:tcBorders>
              <w:top w:val="nil"/>
              <w:left w:val="nil"/>
              <w:bottom w:val="nil"/>
              <w:right w:val="nil"/>
            </w:tcBorders>
            <w:shd w:val="clear" w:color="auto" w:fill="auto"/>
            <w:vAlign w:val="center"/>
            <w:hideMark/>
          </w:tcPr>
          <w:p w14:paraId="1DF19CEE"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forwards, and other interest rates derivatives</w:t>
            </w:r>
          </w:p>
        </w:tc>
        <w:tc>
          <w:tcPr>
            <w:tcW w:w="992" w:type="dxa"/>
            <w:tcBorders>
              <w:top w:val="nil"/>
              <w:left w:val="nil"/>
              <w:bottom w:val="nil"/>
              <w:right w:val="nil"/>
            </w:tcBorders>
            <w:shd w:val="clear" w:color="auto" w:fill="auto"/>
            <w:noWrap/>
            <w:vAlign w:val="center"/>
            <w:hideMark/>
          </w:tcPr>
          <w:p w14:paraId="591E1972"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72C31316"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40C029A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270BC743"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09E82105"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294781D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nil"/>
              <w:left w:val="nil"/>
              <w:bottom w:val="nil"/>
              <w:right w:val="nil"/>
            </w:tcBorders>
            <w:shd w:val="clear" w:color="auto" w:fill="auto"/>
            <w:noWrap/>
            <w:vAlign w:val="center"/>
            <w:hideMark/>
          </w:tcPr>
          <w:p w14:paraId="374C60A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25CBC36F" w14:textId="77777777" w:rsidTr="00B41B29">
        <w:trPr>
          <w:trHeight w:val="141"/>
        </w:trPr>
        <w:tc>
          <w:tcPr>
            <w:tcW w:w="2410" w:type="dxa"/>
            <w:tcBorders>
              <w:top w:val="nil"/>
              <w:left w:val="nil"/>
              <w:bottom w:val="nil"/>
              <w:right w:val="nil"/>
            </w:tcBorders>
            <w:shd w:val="clear" w:color="DCE6F1" w:fill="DCE6F1"/>
            <w:vAlign w:val="center"/>
            <w:hideMark/>
          </w:tcPr>
          <w:p w14:paraId="09DF5484"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LINEAR </w:t>
            </w:r>
          </w:p>
        </w:tc>
        <w:tc>
          <w:tcPr>
            <w:tcW w:w="992" w:type="dxa"/>
            <w:tcBorders>
              <w:top w:val="nil"/>
              <w:left w:val="nil"/>
              <w:bottom w:val="nil"/>
              <w:right w:val="nil"/>
            </w:tcBorders>
            <w:shd w:val="clear" w:color="DCE6F1" w:fill="DCE6F1"/>
            <w:noWrap/>
            <w:vAlign w:val="center"/>
            <w:hideMark/>
          </w:tcPr>
          <w:p w14:paraId="57BA05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669268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5AF893B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0D4798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0EB4B8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460E988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708" w:type="dxa"/>
            <w:tcBorders>
              <w:top w:val="nil"/>
              <w:left w:val="nil"/>
              <w:bottom w:val="nil"/>
              <w:right w:val="nil"/>
            </w:tcBorders>
            <w:shd w:val="clear" w:color="DCE6F1" w:fill="DCE6F1"/>
            <w:noWrap/>
            <w:vAlign w:val="center"/>
            <w:hideMark/>
          </w:tcPr>
          <w:p w14:paraId="38FEE6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A7C4512" w14:textId="77777777" w:rsidTr="00B41B29">
        <w:trPr>
          <w:trHeight w:val="101"/>
        </w:trPr>
        <w:tc>
          <w:tcPr>
            <w:tcW w:w="2410" w:type="dxa"/>
            <w:tcBorders>
              <w:top w:val="nil"/>
              <w:left w:val="nil"/>
              <w:bottom w:val="single" w:sz="4" w:space="0" w:color="92CDDC"/>
              <w:right w:val="nil"/>
            </w:tcBorders>
            <w:shd w:val="clear" w:color="auto" w:fill="auto"/>
            <w:vAlign w:val="center"/>
            <w:hideMark/>
          </w:tcPr>
          <w:p w14:paraId="15153CD6"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6ACBAA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25797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5594F1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E3B45E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62F552A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7870E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1EBB822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3A2B9854" w14:textId="77777777" w:rsidTr="00B41B29">
        <w:trPr>
          <w:trHeight w:val="53"/>
        </w:trPr>
        <w:tc>
          <w:tcPr>
            <w:tcW w:w="2410" w:type="dxa"/>
            <w:tcBorders>
              <w:top w:val="single" w:sz="4" w:space="0" w:color="92CDDC"/>
              <w:left w:val="nil"/>
              <w:bottom w:val="single" w:sz="4" w:space="0" w:color="92CDDC"/>
              <w:right w:val="nil"/>
            </w:tcBorders>
            <w:shd w:val="clear" w:color="DCE6F1" w:fill="DCE6F1"/>
            <w:vAlign w:val="center"/>
            <w:hideMark/>
          </w:tcPr>
          <w:p w14:paraId="2C727A8A"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Option</w:t>
            </w:r>
          </w:p>
        </w:tc>
        <w:tc>
          <w:tcPr>
            <w:tcW w:w="992" w:type="dxa"/>
            <w:tcBorders>
              <w:top w:val="single" w:sz="4" w:space="0" w:color="92CDDC"/>
              <w:left w:val="nil"/>
              <w:bottom w:val="single" w:sz="4" w:space="0" w:color="92CDDC"/>
              <w:right w:val="nil"/>
            </w:tcBorders>
            <w:shd w:val="clear" w:color="DCE6F1" w:fill="DCE6F1"/>
            <w:noWrap/>
            <w:vAlign w:val="center"/>
            <w:hideMark/>
          </w:tcPr>
          <w:p w14:paraId="3ED3C00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92CDDC"/>
              <w:right w:val="nil"/>
            </w:tcBorders>
            <w:shd w:val="clear" w:color="DCE6F1" w:fill="DCE6F1"/>
            <w:noWrap/>
            <w:vAlign w:val="center"/>
            <w:hideMark/>
          </w:tcPr>
          <w:p w14:paraId="5C7B63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92CDDC"/>
              <w:right w:val="nil"/>
            </w:tcBorders>
            <w:shd w:val="clear" w:color="DCE6F1" w:fill="DCE6F1"/>
            <w:noWrap/>
            <w:vAlign w:val="center"/>
            <w:hideMark/>
          </w:tcPr>
          <w:p w14:paraId="04B3683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92CDDC"/>
              <w:right w:val="nil"/>
            </w:tcBorders>
            <w:shd w:val="clear" w:color="DCE6F1" w:fill="DCE6F1"/>
            <w:noWrap/>
            <w:vAlign w:val="center"/>
            <w:hideMark/>
          </w:tcPr>
          <w:p w14:paraId="71B19F4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DCE6F1" w:fill="DCE6F1"/>
            <w:noWrap/>
            <w:vAlign w:val="center"/>
            <w:hideMark/>
          </w:tcPr>
          <w:p w14:paraId="46395C4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DCE6F1" w:fill="DCE6F1"/>
            <w:noWrap/>
            <w:vAlign w:val="center"/>
            <w:hideMark/>
          </w:tcPr>
          <w:p w14:paraId="21972EF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single" w:sz="4" w:space="0" w:color="92CDDC"/>
              <w:left w:val="nil"/>
              <w:bottom w:val="single" w:sz="4" w:space="0" w:color="92CDDC"/>
              <w:right w:val="nil"/>
            </w:tcBorders>
            <w:shd w:val="clear" w:color="DCE6F1" w:fill="DCE6F1"/>
            <w:noWrap/>
            <w:vAlign w:val="center"/>
            <w:hideMark/>
          </w:tcPr>
          <w:p w14:paraId="3FF1CBF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714703BF"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57FAC2D" w14:textId="77777777" w:rsidR="00ED46E3" w:rsidRPr="00ED46E3" w:rsidRDefault="00ED46E3" w:rsidP="00ED46E3">
            <w:pPr>
              <w:spacing w:after="0" w:line="240" w:lineRule="auto"/>
              <w:rPr>
                <w:rFonts w:ascii="Arial" w:eastAsia="Times New Roman" w:hAnsi="Arial" w:cs="Arial"/>
                <w:color w:val="000000"/>
                <w:sz w:val="16"/>
                <w:szCs w:val="16"/>
                <w:lang w:val="fr-FR" w:eastAsia="ja-JP"/>
              </w:rPr>
            </w:pPr>
            <w:proofErr w:type="spellStart"/>
            <w:r w:rsidRPr="00ED46E3">
              <w:rPr>
                <w:rFonts w:ascii="Arial" w:eastAsia="Times New Roman" w:hAnsi="Arial" w:cs="Arial"/>
                <w:color w:val="000000"/>
                <w:sz w:val="16"/>
                <w:szCs w:val="16"/>
                <w:lang w:val="fr-FR" w:eastAsia="ja-JP"/>
              </w:rPr>
              <w:t>Other</w:t>
            </w:r>
            <w:proofErr w:type="spellEnd"/>
            <w:r w:rsidRPr="00ED46E3">
              <w:rPr>
                <w:rFonts w:ascii="Arial" w:eastAsia="Times New Roman" w:hAnsi="Arial" w:cs="Arial"/>
                <w:color w:val="000000"/>
                <w:sz w:val="16"/>
                <w:szCs w:val="16"/>
                <w:lang w:val="fr-FR" w:eastAsia="ja-JP"/>
              </w:rPr>
              <w:t xml:space="preserve"> Rates</w:t>
            </w:r>
          </w:p>
        </w:tc>
        <w:tc>
          <w:tcPr>
            <w:tcW w:w="6098" w:type="dxa"/>
            <w:gridSpan w:val="7"/>
            <w:tcBorders>
              <w:top w:val="nil"/>
              <w:left w:val="nil"/>
              <w:bottom w:val="single" w:sz="4" w:space="0" w:color="92CDDC"/>
              <w:right w:val="nil"/>
            </w:tcBorders>
            <w:shd w:val="clear" w:color="auto" w:fill="auto"/>
            <w:noWrap/>
            <w:vAlign w:val="center"/>
            <w:hideMark/>
          </w:tcPr>
          <w:p w14:paraId="7DFD1622"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969D95A" w14:textId="77777777" w:rsidTr="00B41B29">
        <w:trPr>
          <w:trHeight w:val="85"/>
        </w:trPr>
        <w:tc>
          <w:tcPr>
            <w:tcW w:w="2410" w:type="dxa"/>
            <w:tcBorders>
              <w:top w:val="nil"/>
              <w:left w:val="nil"/>
              <w:bottom w:val="single" w:sz="4" w:space="0" w:color="92CDDC"/>
              <w:right w:val="nil"/>
            </w:tcBorders>
            <w:shd w:val="clear" w:color="auto" w:fill="auto"/>
            <w:vAlign w:val="center"/>
            <w:hideMark/>
          </w:tcPr>
          <w:p w14:paraId="4C6797B8"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Currency</w:t>
            </w:r>
            <w:proofErr w:type="spellEnd"/>
            <w:r w:rsidRPr="00ED46E3">
              <w:rPr>
                <w:rFonts w:ascii="Arial" w:eastAsia="Times New Roman" w:hAnsi="Arial" w:cs="Arial"/>
                <w:b/>
                <w:bCs/>
                <w:color w:val="000000"/>
                <w:sz w:val="16"/>
                <w:szCs w:val="16"/>
                <w:lang w:val="fr-FR" w:eastAsia="ja-JP"/>
              </w:rPr>
              <w:t xml:space="preserve"> </w:t>
            </w:r>
            <w:proofErr w:type="spellStart"/>
            <w:r w:rsidRPr="00ED46E3">
              <w:rPr>
                <w:rFonts w:ascii="Arial" w:eastAsia="Times New Roman" w:hAnsi="Arial" w:cs="Arial"/>
                <w:b/>
                <w:bCs/>
                <w:color w:val="000000"/>
                <w:sz w:val="16"/>
                <w:szCs w:val="16"/>
                <w:lang w:val="fr-FR" w:eastAsia="ja-JP"/>
              </w:rPr>
              <w:t>derivatives</w:t>
            </w:r>
            <w:proofErr w:type="spellEnd"/>
          </w:p>
        </w:tc>
        <w:tc>
          <w:tcPr>
            <w:tcW w:w="6098" w:type="dxa"/>
            <w:gridSpan w:val="7"/>
            <w:tcBorders>
              <w:top w:val="nil"/>
              <w:left w:val="nil"/>
              <w:bottom w:val="single" w:sz="4" w:space="0" w:color="92CDDC"/>
              <w:right w:val="nil"/>
            </w:tcBorders>
            <w:shd w:val="clear" w:color="auto" w:fill="auto"/>
            <w:noWrap/>
            <w:vAlign w:val="center"/>
            <w:hideMark/>
          </w:tcPr>
          <w:p w14:paraId="3D3445E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3377678" w14:textId="77777777" w:rsidTr="00B41B29">
        <w:trPr>
          <w:trHeight w:val="53"/>
        </w:trPr>
        <w:tc>
          <w:tcPr>
            <w:tcW w:w="2410" w:type="dxa"/>
            <w:tcBorders>
              <w:top w:val="nil"/>
              <w:left w:val="nil"/>
              <w:bottom w:val="nil"/>
              <w:right w:val="nil"/>
            </w:tcBorders>
            <w:shd w:val="clear" w:color="auto" w:fill="auto"/>
            <w:vAlign w:val="center"/>
            <w:hideMark/>
          </w:tcPr>
          <w:p w14:paraId="0CC41AE7"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Swaps, forwards, and other currency derivatives</w:t>
            </w:r>
          </w:p>
        </w:tc>
        <w:tc>
          <w:tcPr>
            <w:tcW w:w="992" w:type="dxa"/>
            <w:tcBorders>
              <w:top w:val="nil"/>
              <w:left w:val="nil"/>
              <w:bottom w:val="nil"/>
              <w:right w:val="nil"/>
            </w:tcBorders>
            <w:shd w:val="clear" w:color="auto" w:fill="auto"/>
            <w:noWrap/>
            <w:vAlign w:val="center"/>
            <w:hideMark/>
          </w:tcPr>
          <w:p w14:paraId="5A48D52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37260C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1134" w:type="dxa"/>
            <w:tcBorders>
              <w:top w:val="nil"/>
              <w:left w:val="nil"/>
              <w:bottom w:val="nil"/>
              <w:right w:val="nil"/>
            </w:tcBorders>
            <w:shd w:val="clear" w:color="auto" w:fill="auto"/>
            <w:noWrap/>
            <w:vAlign w:val="center"/>
            <w:hideMark/>
          </w:tcPr>
          <w:p w14:paraId="49C2904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995" w:type="dxa"/>
            <w:tcBorders>
              <w:top w:val="nil"/>
              <w:left w:val="nil"/>
              <w:bottom w:val="nil"/>
              <w:right w:val="nil"/>
            </w:tcBorders>
            <w:shd w:val="clear" w:color="auto" w:fill="auto"/>
            <w:noWrap/>
            <w:vAlign w:val="center"/>
            <w:hideMark/>
          </w:tcPr>
          <w:p w14:paraId="482534A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5660D99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567" w:type="dxa"/>
            <w:tcBorders>
              <w:top w:val="nil"/>
              <w:left w:val="nil"/>
              <w:bottom w:val="nil"/>
              <w:right w:val="nil"/>
            </w:tcBorders>
            <w:shd w:val="clear" w:color="auto" w:fill="auto"/>
            <w:noWrap/>
            <w:vAlign w:val="center"/>
            <w:hideMark/>
          </w:tcPr>
          <w:p w14:paraId="5C88F65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nil"/>
              <w:right w:val="nil"/>
            </w:tcBorders>
            <w:shd w:val="clear" w:color="auto" w:fill="auto"/>
            <w:noWrap/>
            <w:vAlign w:val="center"/>
            <w:hideMark/>
          </w:tcPr>
          <w:p w14:paraId="0D5F11B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r>
      <w:tr w:rsidR="00B41B29" w:rsidRPr="00ED46E3" w14:paraId="0AF37126" w14:textId="77777777" w:rsidTr="00B41B29">
        <w:trPr>
          <w:trHeight w:val="89"/>
        </w:trPr>
        <w:tc>
          <w:tcPr>
            <w:tcW w:w="2410" w:type="dxa"/>
            <w:tcBorders>
              <w:top w:val="nil"/>
              <w:left w:val="nil"/>
              <w:bottom w:val="nil"/>
              <w:right w:val="nil"/>
            </w:tcBorders>
            <w:shd w:val="clear" w:color="auto" w:fill="auto"/>
            <w:vAlign w:val="center"/>
            <w:hideMark/>
          </w:tcPr>
          <w:p w14:paraId="51C89D07"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nil"/>
              <w:right w:val="nil"/>
            </w:tcBorders>
            <w:shd w:val="clear" w:color="auto" w:fill="auto"/>
            <w:noWrap/>
            <w:vAlign w:val="center"/>
            <w:hideMark/>
          </w:tcPr>
          <w:p w14:paraId="183D01A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7775B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1134" w:type="dxa"/>
            <w:tcBorders>
              <w:top w:val="nil"/>
              <w:left w:val="nil"/>
              <w:bottom w:val="nil"/>
              <w:right w:val="nil"/>
            </w:tcBorders>
            <w:shd w:val="clear" w:color="auto" w:fill="auto"/>
            <w:noWrap/>
            <w:vAlign w:val="center"/>
            <w:hideMark/>
          </w:tcPr>
          <w:p w14:paraId="79A2C82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995" w:type="dxa"/>
            <w:tcBorders>
              <w:top w:val="nil"/>
              <w:left w:val="nil"/>
              <w:bottom w:val="nil"/>
              <w:right w:val="nil"/>
            </w:tcBorders>
            <w:shd w:val="clear" w:color="auto" w:fill="auto"/>
            <w:noWrap/>
            <w:vAlign w:val="center"/>
            <w:hideMark/>
          </w:tcPr>
          <w:p w14:paraId="74E4EA1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CF451B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nil"/>
              <w:right w:val="nil"/>
            </w:tcBorders>
            <w:shd w:val="clear" w:color="auto" w:fill="auto"/>
            <w:noWrap/>
            <w:vAlign w:val="center"/>
            <w:hideMark/>
          </w:tcPr>
          <w:p w14:paraId="13EE99BE"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708" w:type="dxa"/>
            <w:tcBorders>
              <w:top w:val="nil"/>
              <w:left w:val="nil"/>
              <w:bottom w:val="nil"/>
              <w:right w:val="nil"/>
            </w:tcBorders>
            <w:shd w:val="clear" w:color="auto" w:fill="auto"/>
            <w:noWrap/>
            <w:vAlign w:val="center"/>
            <w:hideMark/>
          </w:tcPr>
          <w:p w14:paraId="438CC87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EB27DE8"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38487235"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4E5225F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4087058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6EB66C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FD3BC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58E45EC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4C13F11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34161864"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47C9E71"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095155C"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Other</w:t>
            </w:r>
            <w:proofErr w:type="spellEnd"/>
            <w:r w:rsidRPr="00ED46E3">
              <w:rPr>
                <w:rFonts w:ascii="Arial" w:eastAsia="Times New Roman" w:hAnsi="Arial" w:cs="Arial"/>
                <w:b/>
                <w:bCs/>
                <w:color w:val="000000"/>
                <w:sz w:val="16"/>
                <w:szCs w:val="16"/>
                <w:lang w:val="fr-FR" w:eastAsia="ja-JP"/>
              </w:rPr>
              <w:t xml:space="preserve"> instruments</w:t>
            </w:r>
          </w:p>
        </w:tc>
        <w:tc>
          <w:tcPr>
            <w:tcW w:w="6098" w:type="dxa"/>
            <w:gridSpan w:val="7"/>
            <w:tcBorders>
              <w:top w:val="single" w:sz="4" w:space="0" w:color="92CDDC"/>
              <w:left w:val="nil"/>
              <w:bottom w:val="single" w:sz="4" w:space="0" w:color="92CDDC"/>
              <w:right w:val="nil"/>
            </w:tcBorders>
            <w:shd w:val="clear" w:color="auto" w:fill="auto"/>
            <w:noWrap/>
            <w:vAlign w:val="center"/>
            <w:hideMark/>
          </w:tcPr>
          <w:p w14:paraId="6261295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3A85F901" w14:textId="77777777" w:rsidTr="00B41B29">
        <w:trPr>
          <w:trHeight w:val="300"/>
        </w:trPr>
        <w:tc>
          <w:tcPr>
            <w:tcW w:w="2410" w:type="dxa"/>
            <w:tcBorders>
              <w:top w:val="nil"/>
              <w:left w:val="nil"/>
              <w:bottom w:val="nil"/>
              <w:right w:val="nil"/>
            </w:tcBorders>
            <w:shd w:val="clear" w:color="auto" w:fill="auto"/>
            <w:vAlign w:val="center"/>
            <w:hideMark/>
          </w:tcPr>
          <w:p w14:paraId="7BD71DBA"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Repo and other fixed income secured funding instruments</w:t>
            </w:r>
          </w:p>
        </w:tc>
        <w:tc>
          <w:tcPr>
            <w:tcW w:w="6098" w:type="dxa"/>
            <w:gridSpan w:val="7"/>
            <w:tcBorders>
              <w:top w:val="single" w:sz="4" w:space="0" w:color="92CDDC"/>
              <w:left w:val="nil"/>
              <w:bottom w:val="nil"/>
              <w:right w:val="nil"/>
            </w:tcBorders>
            <w:shd w:val="clear" w:color="auto" w:fill="auto"/>
            <w:noWrap/>
            <w:vAlign w:val="center"/>
            <w:hideMark/>
          </w:tcPr>
          <w:p w14:paraId="069C701F" w14:textId="77777777" w:rsidR="00ED46E3" w:rsidRPr="00ED46E3" w:rsidRDefault="00ED46E3" w:rsidP="00ED46E3">
            <w:pPr>
              <w:spacing w:after="0" w:line="240" w:lineRule="auto"/>
              <w:jc w:val="center"/>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 </w:t>
            </w:r>
          </w:p>
        </w:tc>
      </w:tr>
      <w:tr w:rsidR="00B41B29" w:rsidRPr="00ED46E3" w14:paraId="001E9AF1"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40AE677E"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single" w:sz="4" w:space="0" w:color="92CDDC"/>
              <w:right w:val="nil"/>
            </w:tcBorders>
            <w:shd w:val="clear" w:color="auto" w:fill="auto"/>
            <w:noWrap/>
            <w:vAlign w:val="center"/>
            <w:hideMark/>
          </w:tcPr>
          <w:p w14:paraId="7DC5153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single" w:sz="4" w:space="0" w:color="92CDDC"/>
              <w:right w:val="nil"/>
            </w:tcBorders>
            <w:shd w:val="clear" w:color="auto" w:fill="auto"/>
            <w:noWrap/>
            <w:vAlign w:val="center"/>
            <w:hideMark/>
          </w:tcPr>
          <w:p w14:paraId="0CCC4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1134" w:type="dxa"/>
            <w:tcBorders>
              <w:top w:val="nil"/>
              <w:left w:val="nil"/>
              <w:bottom w:val="single" w:sz="4" w:space="0" w:color="92CDDC"/>
              <w:right w:val="nil"/>
            </w:tcBorders>
            <w:shd w:val="clear" w:color="auto" w:fill="auto"/>
            <w:noWrap/>
            <w:vAlign w:val="center"/>
            <w:hideMark/>
          </w:tcPr>
          <w:p w14:paraId="1374D0A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995" w:type="dxa"/>
            <w:tcBorders>
              <w:top w:val="nil"/>
              <w:left w:val="nil"/>
              <w:bottom w:val="single" w:sz="4" w:space="0" w:color="92CDDC"/>
              <w:right w:val="nil"/>
            </w:tcBorders>
            <w:shd w:val="clear" w:color="auto" w:fill="auto"/>
            <w:noWrap/>
            <w:vAlign w:val="center"/>
            <w:hideMark/>
          </w:tcPr>
          <w:p w14:paraId="0375B55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4</w:t>
            </w:r>
          </w:p>
        </w:tc>
        <w:tc>
          <w:tcPr>
            <w:tcW w:w="851" w:type="dxa"/>
            <w:tcBorders>
              <w:top w:val="nil"/>
              <w:left w:val="nil"/>
              <w:bottom w:val="single" w:sz="4" w:space="0" w:color="92CDDC"/>
              <w:right w:val="nil"/>
            </w:tcBorders>
            <w:shd w:val="clear" w:color="auto" w:fill="auto"/>
            <w:noWrap/>
            <w:vAlign w:val="center"/>
            <w:hideMark/>
          </w:tcPr>
          <w:p w14:paraId="55BBA60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1ADDFE7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5177E87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974792" w:rsidRPr="00ED46E3" w14:paraId="1B0499D9" w14:textId="77777777" w:rsidTr="00B41B29">
        <w:trPr>
          <w:trHeight w:val="53"/>
        </w:trPr>
        <w:tc>
          <w:tcPr>
            <w:tcW w:w="2410" w:type="dxa"/>
            <w:tcBorders>
              <w:top w:val="nil"/>
              <w:left w:val="nil"/>
              <w:bottom w:val="nil"/>
              <w:right w:val="nil"/>
            </w:tcBorders>
            <w:shd w:val="clear" w:color="000000" w:fill="8DB4E2"/>
            <w:vAlign w:val="center"/>
            <w:hideMark/>
          </w:tcPr>
          <w:p w14:paraId="312AC46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Treasury</w:t>
            </w:r>
          </w:p>
        </w:tc>
        <w:tc>
          <w:tcPr>
            <w:tcW w:w="992" w:type="dxa"/>
            <w:tcBorders>
              <w:top w:val="nil"/>
              <w:left w:val="nil"/>
              <w:bottom w:val="nil"/>
              <w:right w:val="nil"/>
            </w:tcBorders>
            <w:shd w:val="clear" w:color="000000" w:fill="8DB4E2"/>
            <w:vAlign w:val="center"/>
            <w:hideMark/>
          </w:tcPr>
          <w:p w14:paraId="50BC72E3"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689058C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4AB0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3133E81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F5A81B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3E2FC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4AEDACA2"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671CC6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1A8EC8E4"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single" w:sz="4" w:space="0" w:color="4F81BD"/>
              <w:left w:val="nil"/>
              <w:bottom w:val="nil"/>
              <w:right w:val="nil"/>
            </w:tcBorders>
            <w:shd w:val="clear" w:color="DCE6F1" w:fill="DCE6F1"/>
            <w:noWrap/>
            <w:vAlign w:val="center"/>
            <w:hideMark/>
          </w:tcPr>
          <w:p w14:paraId="72BD8900"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6C3DAB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14E37A5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75D8D2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1A06535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7FB706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2B794A1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172C673A" w14:textId="77777777" w:rsidTr="00B41B29">
        <w:trPr>
          <w:trHeight w:val="139"/>
        </w:trPr>
        <w:tc>
          <w:tcPr>
            <w:tcW w:w="2410" w:type="dxa"/>
            <w:tcBorders>
              <w:top w:val="nil"/>
              <w:left w:val="nil"/>
              <w:bottom w:val="single" w:sz="4" w:space="0" w:color="4F81BD"/>
              <w:right w:val="nil"/>
            </w:tcBorders>
            <w:shd w:val="clear" w:color="auto" w:fill="auto"/>
            <w:vAlign w:val="center"/>
            <w:hideMark/>
          </w:tcPr>
          <w:p w14:paraId="55EA7F90"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Commercial Paper and </w:t>
            </w:r>
            <w:proofErr w:type="spellStart"/>
            <w:r w:rsidRPr="00ED46E3">
              <w:rPr>
                <w:rFonts w:ascii="Arial" w:eastAsia="Times New Roman" w:hAnsi="Arial" w:cs="Arial"/>
                <w:sz w:val="16"/>
                <w:szCs w:val="16"/>
                <w:lang w:val="en-US" w:eastAsia="ja-JP"/>
              </w:rPr>
              <w:t>Certicate</w:t>
            </w:r>
            <w:proofErr w:type="spellEnd"/>
            <w:r w:rsidRPr="00ED46E3">
              <w:rPr>
                <w:rFonts w:ascii="Arial" w:eastAsia="Times New Roman" w:hAnsi="Arial" w:cs="Arial"/>
                <w:sz w:val="16"/>
                <w:szCs w:val="16"/>
                <w:lang w:val="en-US" w:eastAsia="ja-JP"/>
              </w:rPr>
              <w:t xml:space="preserve"> of Deposit</w:t>
            </w:r>
          </w:p>
        </w:tc>
        <w:tc>
          <w:tcPr>
            <w:tcW w:w="992" w:type="dxa"/>
            <w:tcBorders>
              <w:top w:val="nil"/>
              <w:left w:val="nil"/>
              <w:bottom w:val="single" w:sz="4" w:space="0" w:color="4F81BD"/>
              <w:right w:val="nil"/>
            </w:tcBorders>
            <w:shd w:val="clear" w:color="auto" w:fill="auto"/>
            <w:noWrap/>
            <w:vAlign w:val="center"/>
            <w:hideMark/>
          </w:tcPr>
          <w:p w14:paraId="202C96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69928DC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365643D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995" w:type="dxa"/>
            <w:tcBorders>
              <w:top w:val="nil"/>
              <w:left w:val="nil"/>
              <w:bottom w:val="single" w:sz="4" w:space="0" w:color="4F81BD"/>
              <w:right w:val="nil"/>
            </w:tcBorders>
            <w:shd w:val="clear" w:color="auto" w:fill="auto"/>
            <w:noWrap/>
            <w:vAlign w:val="center"/>
            <w:hideMark/>
          </w:tcPr>
          <w:p w14:paraId="267577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0378645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3CAF45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auto" w:fill="auto"/>
            <w:noWrap/>
            <w:vAlign w:val="center"/>
            <w:hideMark/>
          </w:tcPr>
          <w:p w14:paraId="2B0C6FD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bl>
    <w:p w14:paraId="27B575CD" w14:textId="68C3EF1C" w:rsidR="00D759E4" w:rsidRDefault="00D759E4" w:rsidP="009341D6">
      <w:pPr>
        <w:autoSpaceDE w:val="0"/>
        <w:autoSpaceDN w:val="0"/>
        <w:adjustRightInd w:val="0"/>
        <w:spacing w:after="0"/>
        <w:jc w:val="both"/>
        <w:rPr>
          <w:rFonts w:ascii="Arial" w:hAnsi="Arial" w:cs="Arial"/>
          <w:color w:val="000000"/>
        </w:rPr>
      </w:pPr>
    </w:p>
    <w:p w14:paraId="7774FF4E" w14:textId="77777777" w:rsidR="00902701" w:rsidRDefault="00902701" w:rsidP="00902701">
      <w:pPr>
        <w:pStyle w:val="Default"/>
        <w:spacing w:line="276" w:lineRule="auto"/>
        <w:jc w:val="both"/>
        <w:rPr>
          <w:color w:val="auto"/>
          <w:sz w:val="20"/>
          <w:szCs w:val="20"/>
        </w:rPr>
      </w:pPr>
    </w:p>
    <w:p w14:paraId="5E733843" w14:textId="77777777" w:rsidR="00E17C95" w:rsidRPr="00A61CA7" w:rsidRDefault="00E17C95" w:rsidP="00902701">
      <w:pPr>
        <w:pStyle w:val="Default"/>
        <w:spacing w:line="276" w:lineRule="auto"/>
        <w:jc w:val="both"/>
        <w:rPr>
          <w:color w:val="auto"/>
          <w:sz w:val="20"/>
          <w:szCs w:val="20"/>
        </w:rPr>
      </w:pPr>
      <w:r w:rsidRPr="00A61CA7">
        <w:rPr>
          <w:color w:val="auto"/>
          <w:sz w:val="20"/>
          <w:szCs w:val="20"/>
        </w:rPr>
        <w:t xml:space="preserve">Key: </w:t>
      </w:r>
      <w:r>
        <w:rPr>
          <w:color w:val="auto"/>
          <w:sz w:val="20"/>
          <w:szCs w:val="20"/>
        </w:rPr>
        <w:t>“</w:t>
      </w:r>
      <w:r w:rsidRPr="00A61CA7">
        <w:rPr>
          <w:sz w:val="20"/>
          <w:szCs w:val="20"/>
        </w:rPr>
        <w:t>LINEAR</w:t>
      </w:r>
      <w:r>
        <w:rPr>
          <w:sz w:val="20"/>
          <w:szCs w:val="20"/>
        </w:rPr>
        <w:t>” refers to financial i</w:t>
      </w:r>
      <w:r w:rsidRPr="00A61CA7">
        <w:rPr>
          <w:sz w:val="20"/>
          <w:szCs w:val="20"/>
        </w:rPr>
        <w:t>nstrument</w:t>
      </w:r>
      <w:r>
        <w:rPr>
          <w:sz w:val="20"/>
          <w:szCs w:val="20"/>
        </w:rPr>
        <w:t>s</w:t>
      </w:r>
      <w:r w:rsidRPr="00A61CA7">
        <w:rPr>
          <w:sz w:val="20"/>
          <w:szCs w:val="20"/>
        </w:rPr>
        <w:t xml:space="preserve"> with</w:t>
      </w:r>
      <w:r>
        <w:rPr>
          <w:sz w:val="20"/>
          <w:szCs w:val="20"/>
        </w:rPr>
        <w:t xml:space="preserve"> no</w:t>
      </w:r>
      <w:r w:rsidRPr="00A61CA7">
        <w:rPr>
          <w:sz w:val="20"/>
          <w:szCs w:val="20"/>
        </w:rPr>
        <w:t xml:space="preserve"> volatility exposure</w:t>
      </w:r>
      <w:r>
        <w:rPr>
          <w:sz w:val="20"/>
          <w:szCs w:val="20"/>
        </w:rPr>
        <w:t>; “</w:t>
      </w:r>
      <w:r w:rsidRPr="00A61CA7">
        <w:rPr>
          <w:sz w:val="20"/>
          <w:szCs w:val="20"/>
        </w:rPr>
        <w:t>NON LINEAR</w:t>
      </w:r>
      <w:r>
        <w:rPr>
          <w:sz w:val="20"/>
          <w:szCs w:val="20"/>
        </w:rPr>
        <w:t>” refers to financial i</w:t>
      </w:r>
      <w:r w:rsidRPr="000247C4">
        <w:rPr>
          <w:sz w:val="20"/>
          <w:szCs w:val="20"/>
        </w:rPr>
        <w:t>nstrument</w:t>
      </w:r>
      <w:r>
        <w:rPr>
          <w:sz w:val="20"/>
          <w:szCs w:val="20"/>
        </w:rPr>
        <w:t>s</w:t>
      </w:r>
      <w:r w:rsidRPr="000247C4">
        <w:rPr>
          <w:sz w:val="20"/>
          <w:szCs w:val="20"/>
        </w:rPr>
        <w:t xml:space="preserve"> with</w:t>
      </w:r>
      <w:r w:rsidRPr="00E17C95">
        <w:rPr>
          <w:sz w:val="20"/>
          <w:szCs w:val="20"/>
        </w:rPr>
        <w:t xml:space="preserve"> volatility exposure</w:t>
      </w:r>
      <w:r>
        <w:rPr>
          <w:sz w:val="20"/>
          <w:szCs w:val="20"/>
        </w:rPr>
        <w:t>; “</w:t>
      </w:r>
      <w:r w:rsidRPr="00A61CA7">
        <w:rPr>
          <w:sz w:val="20"/>
          <w:szCs w:val="20"/>
        </w:rPr>
        <w:t>N/A</w:t>
      </w:r>
      <w:r>
        <w:rPr>
          <w:sz w:val="20"/>
          <w:szCs w:val="20"/>
        </w:rPr>
        <w:t>” means</w:t>
      </w:r>
      <w:r w:rsidRPr="00A61CA7">
        <w:rPr>
          <w:sz w:val="20"/>
          <w:szCs w:val="20"/>
        </w:rPr>
        <w:t xml:space="preserve"> </w:t>
      </w:r>
      <w:r w:rsidR="007D0329">
        <w:rPr>
          <w:sz w:val="20"/>
          <w:szCs w:val="20"/>
        </w:rPr>
        <w:t>N</w:t>
      </w:r>
      <w:r w:rsidR="007D0329" w:rsidRPr="00E94542">
        <w:rPr>
          <w:sz w:val="20"/>
          <w:szCs w:val="20"/>
        </w:rPr>
        <w:t xml:space="preserve">ot </w:t>
      </w:r>
      <w:r w:rsidR="007D0329">
        <w:rPr>
          <w:sz w:val="20"/>
          <w:szCs w:val="20"/>
        </w:rPr>
        <w:t>A</w:t>
      </w:r>
      <w:r w:rsidRPr="00A61CA7">
        <w:rPr>
          <w:sz w:val="20"/>
          <w:szCs w:val="20"/>
        </w:rPr>
        <w:t xml:space="preserve">pplicable </w:t>
      </w:r>
      <w:r>
        <w:rPr>
          <w:sz w:val="20"/>
          <w:szCs w:val="20"/>
        </w:rPr>
        <w:t>in the sense that t</w:t>
      </w:r>
      <w:r w:rsidRPr="00A61CA7">
        <w:rPr>
          <w:sz w:val="20"/>
          <w:szCs w:val="20"/>
        </w:rPr>
        <w:t xml:space="preserve">his </w:t>
      </w:r>
      <w:r>
        <w:rPr>
          <w:sz w:val="20"/>
          <w:szCs w:val="20"/>
        </w:rPr>
        <w:t xml:space="preserve">particular </w:t>
      </w:r>
      <w:r w:rsidRPr="00A61CA7">
        <w:rPr>
          <w:sz w:val="20"/>
          <w:szCs w:val="20"/>
        </w:rPr>
        <w:t>factor for this specific instrument</w:t>
      </w:r>
      <w:r w:rsidR="00112A70">
        <w:rPr>
          <w:sz w:val="20"/>
          <w:szCs w:val="20"/>
        </w:rPr>
        <w:t xml:space="preserve"> is irrelevant</w:t>
      </w:r>
      <w:r w:rsidR="00900EFA">
        <w:rPr>
          <w:sz w:val="20"/>
          <w:szCs w:val="20"/>
        </w:rPr>
        <w:t>.</w:t>
      </w:r>
      <w:r w:rsidRPr="00A61CA7">
        <w:rPr>
          <w:sz w:val="20"/>
          <w:szCs w:val="20"/>
        </w:rPr>
        <w:t xml:space="preserve"> </w:t>
      </w:r>
    </w:p>
    <w:p w14:paraId="054255F5" w14:textId="77777777" w:rsidR="00E17C95" w:rsidRDefault="00E17C95" w:rsidP="00D22E22">
      <w:pPr>
        <w:pStyle w:val="Default"/>
        <w:spacing w:line="276" w:lineRule="auto"/>
        <w:jc w:val="both"/>
        <w:rPr>
          <w:color w:val="auto"/>
          <w:sz w:val="22"/>
          <w:szCs w:val="22"/>
        </w:rPr>
      </w:pPr>
    </w:p>
    <w:p w14:paraId="5CE855E5" w14:textId="77777777" w:rsidR="00A34DF4" w:rsidRPr="00A61CA7" w:rsidRDefault="007A7726" w:rsidP="00A61CA7">
      <w:pPr>
        <w:jc w:val="both"/>
        <w:rPr>
          <w:rFonts w:ascii="Arial" w:hAnsi="Arial" w:cs="Arial"/>
          <w:color w:val="000000"/>
        </w:rPr>
      </w:pPr>
      <w:r>
        <w:rPr>
          <w:rFonts w:ascii="Arial" w:hAnsi="Arial" w:cs="Arial"/>
          <w:color w:val="000000"/>
        </w:rPr>
        <w:t>E</w:t>
      </w:r>
      <w:r w:rsidRPr="00355795">
        <w:rPr>
          <w:rFonts w:ascii="Arial" w:hAnsi="Arial" w:cs="Arial"/>
          <w:color w:val="000000"/>
        </w:rPr>
        <w:t>xample</w:t>
      </w:r>
      <w:r>
        <w:rPr>
          <w:rFonts w:ascii="Arial" w:hAnsi="Arial" w:cs="Arial"/>
          <w:color w:val="000000"/>
        </w:rPr>
        <w:t>:</w:t>
      </w:r>
      <w:r w:rsidR="00235749" w:rsidRPr="00A61CA7">
        <w:rPr>
          <w:rFonts w:ascii="Arial" w:hAnsi="Arial" w:cs="Arial"/>
          <w:color w:val="000000"/>
        </w:rPr>
        <w:t xml:space="preserve"> t</w:t>
      </w:r>
      <w:r w:rsidR="00A34DF4" w:rsidRPr="00A61CA7">
        <w:rPr>
          <w:rFonts w:ascii="Arial" w:hAnsi="Arial" w:cs="Arial"/>
          <w:color w:val="000000"/>
        </w:rPr>
        <w:t xml:space="preserve">he </w:t>
      </w:r>
      <w:r w:rsidR="00235749" w:rsidRPr="00A61CA7">
        <w:rPr>
          <w:rFonts w:ascii="Arial" w:hAnsi="Arial" w:cs="Arial"/>
          <w:color w:val="000000"/>
        </w:rPr>
        <w:t xml:space="preserve">most important </w:t>
      </w:r>
      <w:r w:rsidR="00A370F5">
        <w:rPr>
          <w:rFonts w:ascii="Arial" w:hAnsi="Arial" w:cs="Arial"/>
          <w:color w:val="000000"/>
        </w:rPr>
        <w:t xml:space="preserve">execution </w:t>
      </w:r>
      <w:r w:rsidR="00902701" w:rsidRPr="00A61CA7">
        <w:rPr>
          <w:rFonts w:ascii="Arial" w:hAnsi="Arial" w:cs="Arial"/>
          <w:color w:val="000000"/>
        </w:rPr>
        <w:t>factors for</w:t>
      </w:r>
      <w:r w:rsidR="00235749" w:rsidRPr="00A61CA7">
        <w:rPr>
          <w:rFonts w:ascii="Arial" w:hAnsi="Arial" w:cs="Arial"/>
          <w:color w:val="000000"/>
        </w:rPr>
        <w:t xml:space="preserve"> </w:t>
      </w:r>
      <w:r w:rsidR="00A370F5">
        <w:rPr>
          <w:rFonts w:ascii="Arial" w:hAnsi="Arial" w:cs="Arial"/>
          <w:color w:val="000000"/>
        </w:rPr>
        <w:t xml:space="preserve">FX </w:t>
      </w:r>
      <w:r w:rsidR="00CA7072">
        <w:rPr>
          <w:rFonts w:ascii="Arial" w:hAnsi="Arial" w:cs="Arial"/>
          <w:color w:val="000000"/>
        </w:rPr>
        <w:t xml:space="preserve">options </w:t>
      </w:r>
      <w:r w:rsidR="00CA7072" w:rsidRPr="00A61CA7">
        <w:rPr>
          <w:rFonts w:ascii="Arial" w:hAnsi="Arial" w:cs="Arial"/>
          <w:color w:val="000000"/>
        </w:rPr>
        <w:t>are</w:t>
      </w:r>
      <w:r w:rsidR="00A34DF4" w:rsidRPr="00A61CA7">
        <w:rPr>
          <w:rFonts w:ascii="Arial" w:hAnsi="Arial" w:cs="Arial"/>
          <w:color w:val="000000"/>
        </w:rPr>
        <w:t xml:space="preserve"> </w:t>
      </w:r>
      <w:r w:rsidR="002D5550">
        <w:rPr>
          <w:rFonts w:ascii="Arial" w:hAnsi="Arial" w:cs="Arial"/>
          <w:color w:val="000000"/>
        </w:rPr>
        <w:t>p</w:t>
      </w:r>
      <w:r w:rsidR="00A34DF4" w:rsidRPr="00A61CA7">
        <w:rPr>
          <w:rFonts w:ascii="Arial" w:hAnsi="Arial" w:cs="Arial"/>
          <w:color w:val="000000"/>
        </w:rPr>
        <w:t xml:space="preserve">rice, </w:t>
      </w:r>
      <w:r w:rsidR="002D5550">
        <w:rPr>
          <w:rFonts w:ascii="Arial" w:hAnsi="Arial" w:cs="Arial"/>
          <w:color w:val="000000"/>
        </w:rPr>
        <w:t>c</w:t>
      </w:r>
      <w:r w:rsidR="00A34DF4" w:rsidRPr="00A61CA7">
        <w:rPr>
          <w:rFonts w:ascii="Arial" w:hAnsi="Arial" w:cs="Arial"/>
          <w:color w:val="000000"/>
        </w:rPr>
        <w:t xml:space="preserve">ost, </w:t>
      </w:r>
      <w:r w:rsidR="002D5550">
        <w:rPr>
          <w:rFonts w:ascii="Arial" w:hAnsi="Arial" w:cs="Arial"/>
          <w:color w:val="000000"/>
        </w:rPr>
        <w:t>l</w:t>
      </w:r>
      <w:r w:rsidR="00A34DF4" w:rsidRPr="00A61CA7">
        <w:rPr>
          <w:rFonts w:ascii="Arial" w:hAnsi="Arial" w:cs="Arial"/>
          <w:color w:val="000000"/>
        </w:rPr>
        <w:t xml:space="preserve">ikelihood of </w:t>
      </w:r>
      <w:r w:rsidR="002D5550">
        <w:rPr>
          <w:rFonts w:ascii="Arial" w:hAnsi="Arial" w:cs="Arial"/>
          <w:color w:val="000000"/>
        </w:rPr>
        <w:t>e</w:t>
      </w:r>
      <w:r w:rsidR="00A34DF4" w:rsidRPr="00A61CA7">
        <w:rPr>
          <w:rFonts w:ascii="Arial" w:hAnsi="Arial" w:cs="Arial"/>
          <w:color w:val="000000"/>
        </w:rPr>
        <w:t xml:space="preserve">xecution,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s</w:t>
      </w:r>
      <w:r w:rsidR="00A34DF4" w:rsidRPr="00A61CA7">
        <w:rPr>
          <w:rFonts w:ascii="Arial" w:hAnsi="Arial" w:cs="Arial"/>
          <w:color w:val="000000"/>
        </w:rPr>
        <w:t xml:space="preserve">ize and client </w:t>
      </w:r>
      <w:proofErr w:type="spellStart"/>
      <w:r w:rsidR="002D5550">
        <w:rPr>
          <w:rFonts w:ascii="Arial" w:hAnsi="Arial" w:cs="Arial"/>
          <w:color w:val="000000"/>
        </w:rPr>
        <w:t>t</w:t>
      </w:r>
      <w:r w:rsidR="00A34DF4" w:rsidRPr="00A61CA7">
        <w:rPr>
          <w:rFonts w:ascii="Arial" w:hAnsi="Arial" w:cs="Arial"/>
          <w:color w:val="000000"/>
        </w:rPr>
        <w:t>iering</w:t>
      </w:r>
      <w:proofErr w:type="spellEnd"/>
      <w:r w:rsidR="002A3273">
        <w:rPr>
          <w:rFonts w:ascii="Arial" w:hAnsi="Arial" w:cs="Arial"/>
          <w:color w:val="000000"/>
        </w:rPr>
        <w:t xml:space="preserve"> </w:t>
      </w:r>
      <w:r w:rsidR="00A370F5">
        <w:rPr>
          <w:rFonts w:ascii="Arial" w:hAnsi="Arial" w:cs="Arial"/>
          <w:color w:val="000000"/>
        </w:rPr>
        <w:t>whilst s</w:t>
      </w:r>
      <w:r w:rsidR="00235749" w:rsidRPr="00A61CA7">
        <w:rPr>
          <w:rFonts w:ascii="Arial" w:hAnsi="Arial" w:cs="Arial"/>
          <w:color w:val="000000"/>
        </w:rPr>
        <w:t>econd order importance</w:t>
      </w:r>
      <w:r w:rsidR="002D5550">
        <w:rPr>
          <w:rFonts w:ascii="Arial" w:hAnsi="Arial" w:cs="Arial"/>
          <w:color w:val="000000"/>
        </w:rPr>
        <w:t xml:space="preserve"> </w:t>
      </w:r>
      <w:r w:rsidR="00A370F5">
        <w:rPr>
          <w:rFonts w:ascii="Arial" w:hAnsi="Arial" w:cs="Arial"/>
          <w:color w:val="000000"/>
        </w:rPr>
        <w:t>factors are</w:t>
      </w:r>
      <w:r w:rsidR="00A34DF4" w:rsidRPr="00A61CA7">
        <w:rPr>
          <w:rFonts w:ascii="Arial" w:hAnsi="Arial" w:cs="Arial"/>
          <w:color w:val="000000"/>
        </w:rPr>
        <w:t xml:space="preserve"> </w:t>
      </w:r>
      <w:r w:rsidR="002D5550">
        <w:rPr>
          <w:rFonts w:ascii="Arial" w:hAnsi="Arial" w:cs="Arial"/>
          <w:color w:val="000000"/>
        </w:rPr>
        <w:t>s</w:t>
      </w:r>
      <w:r w:rsidR="00A34DF4" w:rsidRPr="00A61CA7">
        <w:rPr>
          <w:rFonts w:ascii="Arial" w:hAnsi="Arial" w:cs="Arial"/>
          <w:color w:val="000000"/>
        </w:rPr>
        <w:t xml:space="preserve">peed of </w:t>
      </w:r>
      <w:r w:rsidR="002D5550">
        <w:rPr>
          <w:rFonts w:ascii="Arial" w:hAnsi="Arial" w:cs="Arial"/>
          <w:color w:val="000000"/>
        </w:rPr>
        <w:t>e</w:t>
      </w:r>
      <w:r w:rsidR="00A34DF4" w:rsidRPr="00A61CA7">
        <w:rPr>
          <w:rFonts w:ascii="Arial" w:hAnsi="Arial" w:cs="Arial"/>
          <w:color w:val="000000"/>
        </w:rPr>
        <w:t xml:space="preserve">xecution and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t</w:t>
      </w:r>
      <w:r w:rsidR="00A34DF4" w:rsidRPr="00A61CA7">
        <w:rPr>
          <w:rFonts w:ascii="Arial" w:hAnsi="Arial" w:cs="Arial"/>
          <w:color w:val="000000"/>
        </w:rPr>
        <w:t>ype.</w:t>
      </w:r>
    </w:p>
    <w:p w14:paraId="58340D61" w14:textId="77777777" w:rsidR="00F27103" w:rsidRDefault="00F27103" w:rsidP="00D22E22">
      <w:pPr>
        <w:pStyle w:val="Default"/>
        <w:spacing w:line="276" w:lineRule="auto"/>
        <w:jc w:val="both"/>
        <w:rPr>
          <w:sz w:val="22"/>
          <w:szCs w:val="22"/>
        </w:rPr>
      </w:pPr>
    </w:p>
    <w:p w14:paraId="5FF21E40" w14:textId="77777777" w:rsidR="003F2551" w:rsidRPr="00D22E22" w:rsidRDefault="003F2551" w:rsidP="00D22E22">
      <w:pPr>
        <w:pStyle w:val="Default"/>
        <w:spacing w:line="276" w:lineRule="auto"/>
        <w:jc w:val="both"/>
        <w:rPr>
          <w:sz w:val="22"/>
          <w:szCs w:val="22"/>
        </w:rPr>
      </w:pPr>
    </w:p>
    <w:p w14:paraId="667F592F" w14:textId="77777777" w:rsidR="00D67845"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00D67845" w:rsidRPr="00D22E22">
        <w:rPr>
          <w:rFonts w:ascii="Arial" w:hAnsi="Arial" w:cs="Arial"/>
          <w:color w:val="1F497D" w:themeColor="text2"/>
        </w:rPr>
        <w:t>escription of any close links, conflicts of interests, and common ownerships with respect to any execution venues used to execute orders</w:t>
      </w:r>
      <w:r w:rsidR="00C8652B">
        <w:rPr>
          <w:rFonts w:ascii="Arial" w:hAnsi="Arial" w:cs="Arial"/>
          <w:color w:val="1F497D" w:themeColor="text2"/>
        </w:rPr>
        <w:t>.</w:t>
      </w:r>
    </w:p>
    <w:p w14:paraId="3E8D5B68" w14:textId="77777777" w:rsidR="009A0D32" w:rsidRPr="00F06631" w:rsidRDefault="009A0D32" w:rsidP="00D22E22">
      <w:pPr>
        <w:pStyle w:val="Default"/>
        <w:spacing w:line="276" w:lineRule="auto"/>
        <w:jc w:val="both"/>
        <w:rPr>
          <w:sz w:val="22"/>
          <w:szCs w:val="22"/>
        </w:rPr>
      </w:pPr>
    </w:p>
    <w:p w14:paraId="4FF87DDF" w14:textId="77777777" w:rsidR="002E2D02" w:rsidRPr="00902701" w:rsidRDefault="00CA7072" w:rsidP="00440AFF">
      <w:pPr>
        <w:pStyle w:val="Default"/>
        <w:spacing w:line="276" w:lineRule="auto"/>
        <w:jc w:val="both"/>
        <w:rPr>
          <w:color w:val="auto"/>
          <w:sz w:val="22"/>
          <w:szCs w:val="22"/>
        </w:rPr>
      </w:pPr>
      <w:r>
        <w:rPr>
          <w:color w:val="auto"/>
          <w:sz w:val="22"/>
          <w:szCs w:val="22"/>
        </w:rPr>
        <w:t xml:space="preserve">As stated above, </w:t>
      </w:r>
      <w:r w:rsidR="00902701" w:rsidRPr="00902701">
        <w:rPr>
          <w:color w:val="auto"/>
          <w:sz w:val="22"/>
          <w:szCs w:val="22"/>
        </w:rPr>
        <w:t>Credit Agricole Corporate and Investment Bank is acting as principal and dealing on its own account. As a result, it does not execute client orders on trading venues</w:t>
      </w:r>
      <w:r w:rsidR="00D67845" w:rsidRPr="00902701">
        <w:rPr>
          <w:color w:val="auto"/>
          <w:sz w:val="22"/>
          <w:szCs w:val="22"/>
        </w:rPr>
        <w:t xml:space="preserve">. </w:t>
      </w:r>
    </w:p>
    <w:p w14:paraId="0B01ACBB" w14:textId="77777777" w:rsidR="00440AFF" w:rsidRPr="00F06631" w:rsidRDefault="00440AFF" w:rsidP="00440AFF">
      <w:pPr>
        <w:pStyle w:val="Default"/>
        <w:spacing w:line="276" w:lineRule="auto"/>
        <w:jc w:val="both"/>
        <w:rPr>
          <w:sz w:val="22"/>
          <w:szCs w:val="22"/>
        </w:rPr>
      </w:pPr>
    </w:p>
    <w:p w14:paraId="5A4C37CE"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Pr="00D22E22">
        <w:rPr>
          <w:rFonts w:ascii="Arial" w:hAnsi="Arial" w:cs="Arial"/>
          <w:color w:val="1F497D" w:themeColor="text2"/>
        </w:rPr>
        <w:t xml:space="preserve">escription of any specific arrangements with any execution venues regarding payments made or </w:t>
      </w:r>
      <w:r w:rsidR="00112A70" w:rsidRPr="00D22E22">
        <w:rPr>
          <w:rFonts w:ascii="Arial" w:hAnsi="Arial" w:cs="Arial"/>
          <w:color w:val="1F497D" w:themeColor="text2"/>
        </w:rPr>
        <w:t>received</w:t>
      </w:r>
      <w:r w:rsidRPr="00D22E22">
        <w:rPr>
          <w:rFonts w:ascii="Arial" w:hAnsi="Arial" w:cs="Arial"/>
          <w:color w:val="1F497D" w:themeColor="text2"/>
        </w:rPr>
        <w:t xml:space="preserve"> discounts, rebates or </w:t>
      </w:r>
      <w:r w:rsidR="00C8652B">
        <w:rPr>
          <w:rFonts w:ascii="Arial" w:hAnsi="Arial" w:cs="Arial"/>
          <w:color w:val="1F497D" w:themeColor="text2"/>
        </w:rPr>
        <w:t>non-monetary benefits received.</w:t>
      </w:r>
    </w:p>
    <w:p w14:paraId="3905CAAE" w14:textId="77777777" w:rsidR="00C8652B" w:rsidRDefault="00C8652B" w:rsidP="006F026F">
      <w:pPr>
        <w:pStyle w:val="Paragraphedeliste"/>
        <w:spacing w:after="0"/>
        <w:contextualSpacing w:val="0"/>
        <w:jc w:val="both"/>
        <w:rPr>
          <w:rFonts w:ascii="Arial" w:hAnsi="Arial" w:cs="Arial"/>
          <w:color w:val="1F497D" w:themeColor="text2"/>
        </w:rPr>
      </w:pPr>
    </w:p>
    <w:p w14:paraId="2E3D3DD1" w14:textId="77777777" w:rsidR="009E6B5C" w:rsidRPr="006F026F" w:rsidRDefault="00EC677B" w:rsidP="006F026F">
      <w:pPr>
        <w:pStyle w:val="Paragraphedeliste"/>
        <w:spacing w:after="0"/>
        <w:ind w:left="0"/>
        <w:contextualSpacing w:val="0"/>
        <w:jc w:val="both"/>
        <w:rPr>
          <w:rFonts w:ascii="Arial" w:hAnsi="Arial" w:cs="Arial"/>
        </w:rPr>
      </w:pPr>
      <w:r w:rsidRPr="00D67845">
        <w:rPr>
          <w:rFonts w:ascii="Arial" w:hAnsi="Arial" w:cs="Arial"/>
          <w:color w:val="000000"/>
        </w:rPr>
        <w:t xml:space="preserve">Credit Agricole Corporate and Investment Bank </w:t>
      </w:r>
      <w:r w:rsidR="009E6B5C" w:rsidRPr="006F026F">
        <w:rPr>
          <w:rFonts w:ascii="Arial" w:hAnsi="Arial" w:cs="Arial"/>
        </w:rPr>
        <w:t>do</w:t>
      </w:r>
      <w:r>
        <w:rPr>
          <w:rFonts w:ascii="Arial" w:hAnsi="Arial" w:cs="Arial"/>
        </w:rPr>
        <w:t>es</w:t>
      </w:r>
      <w:r w:rsidR="009E6B5C" w:rsidRPr="006F026F">
        <w:rPr>
          <w:rFonts w:ascii="Arial" w:hAnsi="Arial" w:cs="Arial"/>
        </w:rPr>
        <w:t xml:space="preserve"> not have any arrangements with execution venues apart from the fact that </w:t>
      </w:r>
      <w:r>
        <w:rPr>
          <w:rFonts w:ascii="Arial" w:hAnsi="Arial" w:cs="Arial"/>
        </w:rPr>
        <w:t>it is itself a</w:t>
      </w:r>
      <w:r w:rsidR="009E6B5C" w:rsidRPr="006F026F">
        <w:rPr>
          <w:rFonts w:ascii="Arial" w:hAnsi="Arial" w:cs="Arial"/>
        </w:rPr>
        <w:t xml:space="preserve"> Systematic </w:t>
      </w:r>
      <w:proofErr w:type="spellStart"/>
      <w:r w:rsidR="009E6B5C" w:rsidRPr="006F026F">
        <w:rPr>
          <w:rFonts w:ascii="Arial" w:hAnsi="Arial" w:cs="Arial"/>
        </w:rPr>
        <w:t>Internaliser</w:t>
      </w:r>
      <w:proofErr w:type="spellEnd"/>
      <w:r w:rsidR="00510D25">
        <w:rPr>
          <w:rFonts w:ascii="Arial" w:hAnsi="Arial" w:cs="Arial"/>
        </w:rPr>
        <w:t>. However,</w:t>
      </w:r>
      <w:r w:rsidR="00223186">
        <w:rPr>
          <w:rFonts w:ascii="Arial" w:hAnsi="Arial" w:cs="Arial"/>
        </w:rPr>
        <w:t xml:space="preserve"> there are no execution costs incurred by the client </w:t>
      </w:r>
      <w:r w:rsidR="00510D25">
        <w:rPr>
          <w:rFonts w:ascii="Arial" w:hAnsi="Arial" w:cs="Arial"/>
        </w:rPr>
        <w:t>in this regard</w:t>
      </w:r>
      <w:r w:rsidR="00900EFA">
        <w:rPr>
          <w:rFonts w:ascii="Arial" w:hAnsi="Arial" w:cs="Arial"/>
        </w:rPr>
        <w:t>.</w:t>
      </w:r>
    </w:p>
    <w:p w14:paraId="7E795523" w14:textId="77777777" w:rsidR="003F2551" w:rsidRPr="00D22E22" w:rsidRDefault="003F2551" w:rsidP="006F026F">
      <w:pPr>
        <w:pStyle w:val="Paragraphedeliste"/>
        <w:spacing w:after="0"/>
        <w:contextualSpacing w:val="0"/>
        <w:jc w:val="both"/>
        <w:rPr>
          <w:rFonts w:ascii="Arial" w:hAnsi="Arial" w:cs="Arial"/>
          <w:color w:val="1F497D" w:themeColor="text2"/>
        </w:rPr>
      </w:pPr>
    </w:p>
    <w:p w14:paraId="0FC4143B"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Pr="00D22E22">
        <w:rPr>
          <w:rFonts w:ascii="Arial" w:hAnsi="Arial" w:cs="Arial"/>
          <w:color w:val="1F497D" w:themeColor="text2"/>
        </w:rPr>
        <w:t>xplanation of the factors that led to a change in the list of execution venues listed in the firm’s execution po</w:t>
      </w:r>
      <w:r w:rsidR="00C8652B">
        <w:rPr>
          <w:rFonts w:ascii="Arial" w:hAnsi="Arial" w:cs="Arial"/>
          <w:color w:val="1F497D" w:themeColor="text2"/>
        </w:rPr>
        <w:t>licy, if such a change occurred.</w:t>
      </w:r>
    </w:p>
    <w:p w14:paraId="7048E04A" w14:textId="77777777" w:rsidR="00C8652B" w:rsidRPr="00D22E22" w:rsidRDefault="00C8652B" w:rsidP="006F026F">
      <w:pPr>
        <w:pStyle w:val="Paragraphedeliste"/>
        <w:spacing w:after="0"/>
        <w:contextualSpacing w:val="0"/>
        <w:jc w:val="both"/>
        <w:rPr>
          <w:rFonts w:ascii="Arial" w:hAnsi="Arial" w:cs="Arial"/>
          <w:color w:val="1F497D" w:themeColor="text2"/>
        </w:rPr>
      </w:pPr>
    </w:p>
    <w:p w14:paraId="36D17450" w14:textId="77777777" w:rsidR="009E6B5C" w:rsidRDefault="009E6B5C" w:rsidP="006F026F">
      <w:pPr>
        <w:pStyle w:val="Default"/>
        <w:spacing w:line="276" w:lineRule="auto"/>
        <w:jc w:val="both"/>
        <w:rPr>
          <w:sz w:val="22"/>
          <w:szCs w:val="22"/>
        </w:rPr>
      </w:pPr>
      <w:r w:rsidRPr="00D22E22">
        <w:rPr>
          <w:sz w:val="22"/>
          <w:szCs w:val="22"/>
        </w:rPr>
        <w:t>Credit Agricole Corporate and Investment Bank</w:t>
      </w:r>
      <w:r>
        <w:rPr>
          <w:sz w:val="22"/>
          <w:szCs w:val="22"/>
        </w:rPr>
        <w:t xml:space="preserve"> executes orders </w:t>
      </w:r>
      <w:r w:rsidR="00C00492" w:rsidRPr="00D22E22">
        <w:rPr>
          <w:sz w:val="22"/>
          <w:szCs w:val="22"/>
        </w:rPr>
        <w:t xml:space="preserve">directly </w:t>
      </w:r>
      <w:r w:rsidRPr="00D22E22">
        <w:rPr>
          <w:sz w:val="22"/>
          <w:szCs w:val="22"/>
        </w:rPr>
        <w:t>against client</w:t>
      </w:r>
      <w:r>
        <w:rPr>
          <w:sz w:val="22"/>
          <w:szCs w:val="22"/>
        </w:rPr>
        <w:t>s,</w:t>
      </w:r>
      <w:r w:rsidRPr="00D22E22">
        <w:rPr>
          <w:sz w:val="22"/>
          <w:szCs w:val="22"/>
        </w:rPr>
        <w:t xml:space="preserve"> acting as principal and dealing on its own account</w:t>
      </w:r>
      <w:r>
        <w:rPr>
          <w:sz w:val="22"/>
          <w:szCs w:val="22"/>
        </w:rPr>
        <w:t xml:space="preserve">. </w:t>
      </w:r>
      <w:r w:rsidR="002747F4">
        <w:rPr>
          <w:sz w:val="22"/>
          <w:szCs w:val="22"/>
        </w:rPr>
        <w:t>As a result, i</w:t>
      </w:r>
      <w:r>
        <w:rPr>
          <w:sz w:val="22"/>
          <w:szCs w:val="22"/>
        </w:rPr>
        <w:t xml:space="preserve">t does not </w:t>
      </w:r>
      <w:r w:rsidR="00902701">
        <w:rPr>
          <w:sz w:val="22"/>
          <w:szCs w:val="22"/>
        </w:rPr>
        <w:t>use a</w:t>
      </w:r>
      <w:r>
        <w:rPr>
          <w:sz w:val="22"/>
          <w:szCs w:val="22"/>
        </w:rPr>
        <w:t xml:space="preserve"> list of execution venues</w:t>
      </w:r>
      <w:r w:rsidR="002747F4">
        <w:rPr>
          <w:sz w:val="22"/>
          <w:szCs w:val="22"/>
        </w:rPr>
        <w:t xml:space="preserve"> as part of</w:t>
      </w:r>
      <w:r>
        <w:rPr>
          <w:sz w:val="22"/>
          <w:szCs w:val="22"/>
        </w:rPr>
        <w:t xml:space="preserve"> its execution policy. </w:t>
      </w:r>
    </w:p>
    <w:p w14:paraId="1C67FD9A" w14:textId="77777777" w:rsidR="00D67845" w:rsidRPr="00D22E22" w:rsidRDefault="00D67845" w:rsidP="00D22E22">
      <w:pPr>
        <w:pStyle w:val="Default"/>
        <w:spacing w:line="276" w:lineRule="auto"/>
        <w:jc w:val="both"/>
        <w:rPr>
          <w:sz w:val="22"/>
          <w:szCs w:val="22"/>
        </w:rPr>
      </w:pPr>
    </w:p>
    <w:p w14:paraId="5C78BCEF" w14:textId="77777777" w:rsidR="00D67845" w:rsidRPr="00C8652B" w:rsidRDefault="006374A4" w:rsidP="006F026F">
      <w:pPr>
        <w:pStyle w:val="Paragraphedeliste"/>
        <w:numPr>
          <w:ilvl w:val="0"/>
          <w:numId w:val="3"/>
        </w:numPr>
        <w:spacing w:after="0"/>
        <w:contextualSpacing w:val="0"/>
        <w:jc w:val="both"/>
        <w:rPr>
          <w:lang w:val="en-US"/>
        </w:rPr>
      </w:pPr>
      <w:r w:rsidRPr="006F026F">
        <w:rPr>
          <w:rFonts w:ascii="Arial" w:hAnsi="Arial" w:cs="Arial"/>
          <w:color w:val="1F497D" w:themeColor="text2"/>
        </w:rPr>
        <w:t>E</w:t>
      </w:r>
      <w:r w:rsidR="00D67845" w:rsidRPr="006F026F">
        <w:rPr>
          <w:rFonts w:ascii="Arial" w:hAnsi="Arial" w:cs="Arial"/>
          <w:color w:val="1F497D" w:themeColor="text2"/>
        </w:rPr>
        <w:t xml:space="preserve">xplanation of how order execution differs according to client </w:t>
      </w:r>
      <w:r w:rsidR="00433739" w:rsidRPr="006F026F">
        <w:rPr>
          <w:rFonts w:ascii="Arial" w:hAnsi="Arial" w:cs="Arial"/>
          <w:color w:val="1F497D" w:themeColor="text2"/>
        </w:rPr>
        <w:t>categorization</w:t>
      </w:r>
      <w:r w:rsidR="00D67845" w:rsidRPr="006F026F">
        <w:rPr>
          <w:rFonts w:ascii="Arial" w:hAnsi="Arial" w:cs="Arial"/>
          <w:color w:val="1F497D" w:themeColor="text2"/>
        </w:rPr>
        <w:t>, where the firm treats categories of clients differently and where it may affect the order execution arrangements</w:t>
      </w:r>
      <w:r w:rsidR="00C8652B" w:rsidRPr="006F026F">
        <w:rPr>
          <w:rFonts w:ascii="Arial" w:hAnsi="Arial" w:cs="Arial"/>
          <w:color w:val="1F497D" w:themeColor="text2"/>
        </w:rPr>
        <w:t>.</w:t>
      </w:r>
    </w:p>
    <w:p w14:paraId="1EF4FB50" w14:textId="77777777" w:rsidR="007A7726" w:rsidRDefault="007A7726" w:rsidP="00D22E22">
      <w:pPr>
        <w:pStyle w:val="Paragraphedeliste"/>
        <w:ind w:left="0"/>
        <w:jc w:val="both"/>
        <w:rPr>
          <w:rFonts w:ascii="Arial" w:eastAsia="Times New Roman" w:hAnsi="Arial" w:cs="Arial"/>
          <w:bCs/>
          <w:strike/>
          <w:color w:val="000000"/>
          <w:kern w:val="24"/>
        </w:rPr>
      </w:pPr>
    </w:p>
    <w:p w14:paraId="3759E16A" w14:textId="77777777" w:rsidR="00B3471A" w:rsidRPr="00516EC6" w:rsidRDefault="00516EC6" w:rsidP="00516EC6">
      <w:pPr>
        <w:pStyle w:val="Paragraphedeliste"/>
        <w:spacing w:after="0"/>
        <w:ind w:left="0"/>
        <w:contextualSpacing w:val="0"/>
        <w:jc w:val="both"/>
        <w:rPr>
          <w:rFonts w:ascii="Arial" w:hAnsi="Arial" w:cs="Arial"/>
          <w:color w:val="000000"/>
        </w:rPr>
      </w:pPr>
      <w:r w:rsidRPr="00516EC6">
        <w:rPr>
          <w:rFonts w:ascii="Arial" w:hAnsi="Arial" w:cs="Arial"/>
          <w:color w:val="000000"/>
        </w:rPr>
        <w:t>Order execution (handling of RFQs) can vary between different asset classes and between different client categories in several ways: It can –but doesn’t systematically- impact (i) the bid-offer spread and (ii) the size for which a price is valid. The components of a price (level, size, etc.) not only vary between asset classes and products, but can also change over time, specifically during illiquid and/or volatile market conditions. Order execution and client experience can therefore vary over time and on the premise that certain elements such as price and size can be made in the context of the overall client relationship and overall client experience, as well as in the context of the asset class and its current prevailing market conditions</w:t>
      </w:r>
      <w:r>
        <w:rPr>
          <w:rFonts w:ascii="Arial" w:hAnsi="Arial" w:cs="Arial"/>
          <w:color w:val="000000"/>
        </w:rPr>
        <w:t>.</w:t>
      </w:r>
    </w:p>
    <w:p w14:paraId="0E295F93" w14:textId="77777777" w:rsidR="00516EC6" w:rsidRPr="00D22E22" w:rsidRDefault="00516EC6" w:rsidP="00D22E22">
      <w:pPr>
        <w:pStyle w:val="Paragraphedeliste"/>
        <w:spacing w:after="0"/>
        <w:ind w:left="1080"/>
        <w:contextualSpacing w:val="0"/>
        <w:jc w:val="both"/>
        <w:rPr>
          <w:rFonts w:ascii="Arial" w:hAnsi="Arial" w:cs="Arial"/>
          <w:color w:val="1F497D" w:themeColor="text2"/>
        </w:rPr>
      </w:pPr>
    </w:p>
    <w:p w14:paraId="6444497D"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F20EE" w:rsidRPr="00D22E22">
        <w:rPr>
          <w:rFonts w:ascii="Arial" w:hAnsi="Arial" w:cs="Arial"/>
          <w:color w:val="1F497D" w:themeColor="text2"/>
        </w:rPr>
        <w:t>xplanation of whether other criteria were given precedence over immediate price and cost when executing retail client orders and how these other criteria were instrumental in delivering the best possible result in terms of the total consideration to the client</w:t>
      </w:r>
      <w:r w:rsidR="00C8652B">
        <w:rPr>
          <w:rFonts w:ascii="Arial" w:hAnsi="Arial" w:cs="Arial"/>
          <w:color w:val="1F497D" w:themeColor="text2"/>
        </w:rPr>
        <w:t>.</w:t>
      </w:r>
    </w:p>
    <w:p w14:paraId="2AC43E5E"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45995C96" w14:textId="77777777" w:rsidR="00D22E22" w:rsidRPr="00D22E22" w:rsidRDefault="00D22E22" w:rsidP="004D085C">
      <w:pPr>
        <w:pStyle w:val="Default"/>
        <w:spacing w:line="276" w:lineRule="auto"/>
        <w:jc w:val="both"/>
        <w:rPr>
          <w:sz w:val="22"/>
          <w:szCs w:val="22"/>
        </w:rPr>
      </w:pPr>
      <w:r w:rsidRPr="00D22E22">
        <w:rPr>
          <w:sz w:val="22"/>
          <w:szCs w:val="22"/>
        </w:rPr>
        <w:t>When dealing with Retail Clients, we will assume that the clients rely on us to protect their interests,</w:t>
      </w:r>
      <w:r w:rsidR="00B96D8B">
        <w:rPr>
          <w:sz w:val="22"/>
          <w:szCs w:val="22"/>
        </w:rPr>
        <w:t xml:space="preserve"> </w:t>
      </w:r>
      <w:r w:rsidRPr="00D22E22">
        <w:rPr>
          <w:sz w:val="22"/>
          <w:szCs w:val="22"/>
        </w:rPr>
        <w:t xml:space="preserve">hence we will apply Best Execution to all </w:t>
      </w:r>
      <w:r w:rsidR="00B96D8B">
        <w:rPr>
          <w:sz w:val="22"/>
          <w:szCs w:val="22"/>
        </w:rPr>
        <w:t>of the</w:t>
      </w:r>
      <w:r w:rsidR="00371E00">
        <w:rPr>
          <w:sz w:val="22"/>
          <w:szCs w:val="22"/>
        </w:rPr>
        <w:t xml:space="preserve"> orders</w:t>
      </w:r>
      <w:r w:rsidRPr="00D22E22">
        <w:rPr>
          <w:sz w:val="22"/>
          <w:szCs w:val="22"/>
        </w:rPr>
        <w:t>. For the purposes of ensuring that Credit Agricole Corporate and Investment Bank obtains the best possible result for the client</w:t>
      </w:r>
      <w:r w:rsidR="00AB633B">
        <w:rPr>
          <w:sz w:val="22"/>
          <w:szCs w:val="22"/>
        </w:rPr>
        <w:t xml:space="preserve">, </w:t>
      </w:r>
      <w:r w:rsidRPr="00D22E22">
        <w:rPr>
          <w:sz w:val="22"/>
          <w:szCs w:val="22"/>
        </w:rPr>
        <w:t>in the absence of specific client instructions</w:t>
      </w:r>
      <w:r w:rsidR="00AB633B">
        <w:rPr>
          <w:sz w:val="22"/>
          <w:szCs w:val="22"/>
        </w:rPr>
        <w:t>,</w:t>
      </w:r>
      <w:r w:rsidRPr="00D22E22">
        <w:rPr>
          <w:sz w:val="22"/>
          <w:szCs w:val="22"/>
        </w:rPr>
        <w:t xml:space="preserve"> we will strive to take into consideration all factors that will allow us to deliver the best possible result in terms of total consideration, </w:t>
      </w:r>
      <w:r w:rsidR="00AB633B">
        <w:rPr>
          <w:sz w:val="22"/>
          <w:szCs w:val="22"/>
        </w:rPr>
        <w:t>including</w:t>
      </w:r>
      <w:r w:rsidR="00AB633B" w:rsidRPr="00D22E22">
        <w:rPr>
          <w:sz w:val="22"/>
          <w:szCs w:val="22"/>
        </w:rPr>
        <w:t xml:space="preserve"> </w:t>
      </w:r>
      <w:r w:rsidRPr="00D22E22">
        <w:rPr>
          <w:sz w:val="22"/>
          <w:szCs w:val="22"/>
        </w:rPr>
        <w:t xml:space="preserve">the price of the </w:t>
      </w:r>
      <w:r w:rsidR="00B96D8B">
        <w:rPr>
          <w:sz w:val="22"/>
          <w:szCs w:val="22"/>
        </w:rPr>
        <w:t>f</w:t>
      </w:r>
      <w:r w:rsidRPr="00D22E22">
        <w:rPr>
          <w:sz w:val="22"/>
          <w:szCs w:val="22"/>
        </w:rPr>
        <w:t xml:space="preserve">inancial </w:t>
      </w:r>
      <w:r w:rsidR="00B96D8B">
        <w:rPr>
          <w:sz w:val="22"/>
          <w:szCs w:val="22"/>
        </w:rPr>
        <w:t>i</w:t>
      </w:r>
      <w:r w:rsidRPr="00D22E22">
        <w:rPr>
          <w:sz w:val="22"/>
          <w:szCs w:val="22"/>
        </w:rPr>
        <w:t>nstrument and the costs related to execution. Speed, likelihood of execution and settlement, size</w:t>
      </w:r>
      <w:r w:rsidR="00AB633B">
        <w:rPr>
          <w:sz w:val="22"/>
          <w:szCs w:val="22"/>
        </w:rPr>
        <w:t>,</w:t>
      </w:r>
      <w:r w:rsidRPr="00D22E22">
        <w:rPr>
          <w:sz w:val="22"/>
          <w:szCs w:val="22"/>
        </w:rPr>
        <w:t xml:space="preserve"> nature of the order, market impact and any other implicit transaction costs may be given precedence over the immediate price and cost consideration only insofar as they are instrumental in delivering the best possible result in terms of total consideration </w:t>
      </w:r>
      <w:r w:rsidR="00AB633B">
        <w:rPr>
          <w:sz w:val="22"/>
          <w:szCs w:val="22"/>
        </w:rPr>
        <w:t>for</w:t>
      </w:r>
      <w:r w:rsidRPr="00D22E22">
        <w:rPr>
          <w:sz w:val="22"/>
          <w:szCs w:val="22"/>
        </w:rPr>
        <w:t xml:space="preserve"> the retail client.</w:t>
      </w:r>
    </w:p>
    <w:p w14:paraId="2781C86D" w14:textId="77777777" w:rsidR="00D22E22" w:rsidRPr="00D22E22" w:rsidRDefault="00D22E22" w:rsidP="00D22E22">
      <w:pPr>
        <w:pStyle w:val="Default"/>
        <w:spacing w:line="276" w:lineRule="auto"/>
        <w:ind w:left="1080"/>
        <w:jc w:val="both"/>
        <w:rPr>
          <w:sz w:val="22"/>
          <w:szCs w:val="22"/>
        </w:rPr>
      </w:pPr>
    </w:p>
    <w:p w14:paraId="38F2C096" w14:textId="77777777" w:rsidR="00D22E22" w:rsidRPr="00D22E22" w:rsidRDefault="00D22E22" w:rsidP="00D22E22">
      <w:pPr>
        <w:pStyle w:val="Default"/>
        <w:spacing w:line="276" w:lineRule="auto"/>
        <w:jc w:val="both"/>
        <w:rPr>
          <w:sz w:val="22"/>
          <w:szCs w:val="22"/>
        </w:rPr>
      </w:pPr>
      <w:r w:rsidRPr="00D22E22">
        <w:rPr>
          <w:sz w:val="22"/>
          <w:szCs w:val="22"/>
        </w:rPr>
        <w:t xml:space="preserve">These factors may vary </w:t>
      </w:r>
      <w:r w:rsidR="00902701" w:rsidRPr="00D22E22">
        <w:rPr>
          <w:sz w:val="22"/>
          <w:szCs w:val="22"/>
        </w:rPr>
        <w:t>in case</w:t>
      </w:r>
      <w:r w:rsidRPr="00D22E22">
        <w:rPr>
          <w:sz w:val="22"/>
          <w:szCs w:val="22"/>
        </w:rPr>
        <w:t xml:space="preserve"> </w:t>
      </w:r>
      <w:r w:rsidR="00902701" w:rsidRPr="00D22E22">
        <w:rPr>
          <w:sz w:val="22"/>
          <w:szCs w:val="22"/>
        </w:rPr>
        <w:t>of stressed</w:t>
      </w:r>
      <w:r w:rsidRPr="00D22E22">
        <w:rPr>
          <w:sz w:val="22"/>
          <w:szCs w:val="22"/>
        </w:rPr>
        <w:t xml:space="preserve"> market</w:t>
      </w:r>
      <w:r w:rsidR="00FC3B9D">
        <w:rPr>
          <w:sz w:val="22"/>
          <w:szCs w:val="22"/>
        </w:rPr>
        <w:t>s</w:t>
      </w:r>
      <w:r w:rsidRPr="00D22E22">
        <w:rPr>
          <w:sz w:val="22"/>
          <w:szCs w:val="22"/>
        </w:rPr>
        <w:t xml:space="preserve">, depending on available liquidity. </w:t>
      </w:r>
      <w:r w:rsidR="00B96D8B">
        <w:rPr>
          <w:sz w:val="22"/>
          <w:szCs w:val="22"/>
        </w:rPr>
        <w:t>For large</w:t>
      </w:r>
      <w:r w:rsidRPr="00D22E22">
        <w:rPr>
          <w:sz w:val="22"/>
          <w:szCs w:val="22"/>
        </w:rPr>
        <w:t xml:space="preserve"> volume</w:t>
      </w:r>
      <w:r w:rsidR="00B96D8B">
        <w:rPr>
          <w:sz w:val="22"/>
          <w:szCs w:val="22"/>
        </w:rPr>
        <w:t>s</w:t>
      </w:r>
      <w:r w:rsidRPr="00D22E22">
        <w:rPr>
          <w:sz w:val="22"/>
          <w:szCs w:val="22"/>
        </w:rPr>
        <w:t xml:space="preserve"> and </w:t>
      </w:r>
      <w:r w:rsidR="00B96D8B">
        <w:rPr>
          <w:sz w:val="22"/>
          <w:szCs w:val="22"/>
        </w:rPr>
        <w:t xml:space="preserve">extreme </w:t>
      </w:r>
      <w:r w:rsidRPr="00D22E22">
        <w:rPr>
          <w:sz w:val="22"/>
          <w:szCs w:val="22"/>
        </w:rPr>
        <w:t xml:space="preserve">volatility situations, exchange system constraints may require automated trading systems to be switched off and/or electronic order routing to be suspended </w:t>
      </w:r>
      <w:r w:rsidRPr="00D22E22">
        <w:rPr>
          <w:sz w:val="22"/>
          <w:szCs w:val="22"/>
        </w:rPr>
        <w:lastRenderedPageBreak/>
        <w:t xml:space="preserve">in favour of manual execution. Such events </w:t>
      </w:r>
      <w:r w:rsidR="00D96241">
        <w:rPr>
          <w:sz w:val="22"/>
          <w:szCs w:val="22"/>
        </w:rPr>
        <w:t xml:space="preserve">may </w:t>
      </w:r>
      <w:r w:rsidRPr="00D22E22">
        <w:rPr>
          <w:sz w:val="22"/>
          <w:szCs w:val="22"/>
        </w:rPr>
        <w:t xml:space="preserve">lead </w:t>
      </w:r>
      <w:r w:rsidR="00902701" w:rsidRPr="00D22E22">
        <w:rPr>
          <w:sz w:val="22"/>
          <w:szCs w:val="22"/>
        </w:rPr>
        <w:t>to execution</w:t>
      </w:r>
      <w:r w:rsidRPr="00D22E22">
        <w:rPr>
          <w:sz w:val="22"/>
          <w:szCs w:val="22"/>
        </w:rPr>
        <w:t xml:space="preserve"> delays and increased market volatility</w:t>
      </w:r>
      <w:r w:rsidR="00D96241">
        <w:rPr>
          <w:sz w:val="22"/>
          <w:szCs w:val="22"/>
        </w:rPr>
        <w:t xml:space="preserve">. </w:t>
      </w:r>
      <w:r w:rsidRPr="00D22E22">
        <w:rPr>
          <w:sz w:val="22"/>
          <w:szCs w:val="22"/>
        </w:rPr>
        <w:t xml:space="preserve"> </w:t>
      </w:r>
    </w:p>
    <w:p w14:paraId="53D2FCCE" w14:textId="77777777" w:rsidR="00D22E22" w:rsidRPr="00D22E22" w:rsidRDefault="00D22E22" w:rsidP="00D22E22">
      <w:pPr>
        <w:pStyle w:val="Default"/>
        <w:spacing w:line="276" w:lineRule="auto"/>
        <w:ind w:left="1080"/>
        <w:jc w:val="both"/>
        <w:rPr>
          <w:sz w:val="22"/>
          <w:szCs w:val="22"/>
        </w:rPr>
      </w:pPr>
    </w:p>
    <w:p w14:paraId="60393B28" w14:textId="77777777" w:rsidR="00D22E22" w:rsidRPr="00D22E22" w:rsidRDefault="00516EC6" w:rsidP="00D22E22">
      <w:pPr>
        <w:pStyle w:val="Default"/>
        <w:spacing w:line="276" w:lineRule="auto"/>
        <w:jc w:val="both"/>
        <w:rPr>
          <w:sz w:val="22"/>
          <w:szCs w:val="22"/>
        </w:rPr>
      </w:pPr>
      <w:r w:rsidRPr="00D22E22">
        <w:rPr>
          <w:sz w:val="22"/>
          <w:szCs w:val="22"/>
        </w:rPr>
        <w:t xml:space="preserve">In </w:t>
      </w:r>
      <w:r>
        <w:rPr>
          <w:sz w:val="22"/>
          <w:szCs w:val="22"/>
        </w:rPr>
        <w:t>highly</w:t>
      </w:r>
      <w:r w:rsidR="00D96241">
        <w:rPr>
          <w:sz w:val="22"/>
          <w:szCs w:val="22"/>
        </w:rPr>
        <w:t xml:space="preserve"> volatile </w:t>
      </w:r>
      <w:r w:rsidR="00D22E22" w:rsidRPr="00D22E22">
        <w:rPr>
          <w:sz w:val="22"/>
          <w:szCs w:val="22"/>
        </w:rPr>
        <w:t>markets,</w:t>
      </w:r>
      <w:r w:rsidR="005656E1">
        <w:rPr>
          <w:sz w:val="22"/>
          <w:szCs w:val="22"/>
        </w:rPr>
        <w:t xml:space="preserve"> finding the best tim</w:t>
      </w:r>
      <w:r w:rsidR="00064C0C">
        <w:rPr>
          <w:sz w:val="22"/>
          <w:szCs w:val="22"/>
        </w:rPr>
        <w:t>ing for</w:t>
      </w:r>
      <w:r w:rsidR="00D22E22" w:rsidRPr="00D22E22">
        <w:rPr>
          <w:sz w:val="22"/>
          <w:szCs w:val="22"/>
        </w:rPr>
        <w:t xml:space="preserve"> execution is a priority, whereas in </w:t>
      </w:r>
      <w:r w:rsidR="00D96241">
        <w:rPr>
          <w:sz w:val="22"/>
          <w:szCs w:val="22"/>
        </w:rPr>
        <w:t xml:space="preserve">low </w:t>
      </w:r>
      <w:r w:rsidR="00644077">
        <w:rPr>
          <w:sz w:val="22"/>
          <w:szCs w:val="22"/>
        </w:rPr>
        <w:t xml:space="preserve">liquidity </w:t>
      </w:r>
      <w:r w:rsidR="00644077" w:rsidRPr="00D22E22">
        <w:rPr>
          <w:sz w:val="22"/>
          <w:szCs w:val="22"/>
        </w:rPr>
        <w:t>markets</w:t>
      </w:r>
      <w:r w:rsidR="00D22E22" w:rsidRPr="00D22E22">
        <w:rPr>
          <w:sz w:val="22"/>
          <w:szCs w:val="22"/>
        </w:rPr>
        <w:t>, the</w:t>
      </w:r>
      <w:r w:rsidR="005656E1">
        <w:rPr>
          <w:sz w:val="22"/>
          <w:szCs w:val="22"/>
        </w:rPr>
        <w:t xml:space="preserve"> priority will be to fulfil the Retail client’s request in an orderly way.</w:t>
      </w:r>
    </w:p>
    <w:p w14:paraId="0E9F62F2"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3A3A998"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22E22" w:rsidRPr="00D22E22">
        <w:rPr>
          <w:rFonts w:ascii="Arial" w:hAnsi="Arial" w:cs="Arial"/>
          <w:color w:val="1F497D" w:themeColor="text2"/>
        </w:rPr>
        <w:t xml:space="preserve">xplanation of how the investment firm has used any data or tools relating to the quality of execution, including any data published under Delegated Regulation (EU) </w:t>
      </w:r>
      <w:r w:rsidR="0063550C">
        <w:rPr>
          <w:rFonts w:ascii="Arial" w:hAnsi="Arial" w:cs="Arial"/>
          <w:color w:val="1F497D" w:themeColor="text2"/>
        </w:rPr>
        <w:t>2017/575</w:t>
      </w:r>
      <w:r w:rsidR="00C8652B">
        <w:rPr>
          <w:rFonts w:ascii="Arial" w:hAnsi="Arial" w:cs="Arial"/>
          <w:color w:val="1F497D" w:themeColor="text2"/>
        </w:rPr>
        <w:t>.</w:t>
      </w:r>
    </w:p>
    <w:p w14:paraId="08ADF13B"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40C2314" w14:textId="4E11C823" w:rsidR="00E57EFA" w:rsidRDefault="007F522B" w:rsidP="007F522B">
      <w:pPr>
        <w:pStyle w:val="Paragraphedeliste"/>
        <w:spacing w:after="0"/>
        <w:ind w:left="0"/>
        <w:contextualSpacing w:val="0"/>
        <w:jc w:val="both"/>
        <w:rPr>
          <w:rFonts w:ascii="Arial" w:hAnsi="Arial" w:cs="Arial"/>
          <w:lang w:val="en-US"/>
        </w:rPr>
      </w:pPr>
      <w:r>
        <w:rPr>
          <w:rFonts w:ascii="Arial" w:hAnsi="Arial" w:cs="Arial"/>
          <w:lang w:val="en-US"/>
        </w:rPr>
        <w:t xml:space="preserve">Credit Agricole Corporate and Investment Bank </w:t>
      </w:r>
      <w:r w:rsidR="00371E00">
        <w:rPr>
          <w:rFonts w:ascii="Arial" w:hAnsi="Arial" w:cs="Arial"/>
          <w:lang w:val="en-US"/>
        </w:rPr>
        <w:t>did</w:t>
      </w:r>
      <w:r>
        <w:rPr>
          <w:rFonts w:ascii="Arial" w:hAnsi="Arial" w:cs="Arial"/>
          <w:lang w:val="en-US"/>
        </w:rPr>
        <w:t xml:space="preserve"> not </w:t>
      </w:r>
      <w:r w:rsidR="00371E00">
        <w:rPr>
          <w:rFonts w:ascii="Arial" w:hAnsi="Arial" w:cs="Arial"/>
          <w:lang w:val="en-US"/>
        </w:rPr>
        <w:t>collect</w:t>
      </w:r>
      <w:r w:rsidR="003504F2">
        <w:rPr>
          <w:rFonts w:ascii="Arial" w:hAnsi="Arial" w:cs="Arial"/>
          <w:lang w:val="en-US"/>
        </w:rPr>
        <w:t xml:space="preserve"> execution data nor </w:t>
      </w:r>
      <w:r w:rsidR="00FB17A0">
        <w:rPr>
          <w:rFonts w:ascii="Arial" w:hAnsi="Arial" w:cs="Arial"/>
          <w:lang w:val="en-US"/>
        </w:rPr>
        <w:t>use</w:t>
      </w:r>
      <w:r>
        <w:rPr>
          <w:rFonts w:ascii="Arial" w:hAnsi="Arial" w:cs="Arial"/>
          <w:lang w:val="en-US"/>
        </w:rPr>
        <w:t xml:space="preserve"> any specific tool or the services of a third party data provider to assess execution data</w:t>
      </w:r>
      <w:r w:rsidR="003504F2">
        <w:rPr>
          <w:rFonts w:ascii="Arial" w:hAnsi="Arial" w:cs="Arial"/>
          <w:lang w:val="en-US"/>
        </w:rPr>
        <w:t xml:space="preserve"> before</w:t>
      </w:r>
      <w:r>
        <w:rPr>
          <w:rFonts w:ascii="Arial" w:hAnsi="Arial" w:cs="Arial"/>
          <w:lang w:val="en-US"/>
        </w:rPr>
        <w:t xml:space="preserve"> </w:t>
      </w:r>
      <w:r w:rsidR="003504F2">
        <w:rPr>
          <w:rFonts w:ascii="Arial" w:hAnsi="Arial" w:cs="Arial"/>
          <w:lang w:val="en-US"/>
        </w:rPr>
        <w:t xml:space="preserve">delegated regulation (EU) 2017/575 came in force on 3 January 2018. </w:t>
      </w:r>
      <w:r w:rsidR="003504F2" w:rsidRPr="00F03EF7">
        <w:rPr>
          <w:rFonts w:ascii="Arial" w:hAnsi="Arial" w:cs="Arial"/>
          <w:lang w:val="en-US"/>
        </w:rPr>
        <w:t xml:space="preserve">The firm is </w:t>
      </w:r>
      <w:r w:rsidR="004E2D49" w:rsidRPr="00F03EF7">
        <w:rPr>
          <w:rFonts w:ascii="Arial" w:hAnsi="Arial" w:cs="Arial"/>
          <w:lang w:val="en-US"/>
        </w:rPr>
        <w:t xml:space="preserve">now </w:t>
      </w:r>
      <w:r w:rsidR="00B77AAF" w:rsidRPr="00F03EF7">
        <w:rPr>
          <w:rFonts w:ascii="Arial" w:hAnsi="Arial" w:cs="Arial"/>
          <w:lang w:val="en-US"/>
        </w:rPr>
        <w:t xml:space="preserve">reviewing </w:t>
      </w:r>
      <w:r w:rsidR="00A44B1A" w:rsidRPr="00F03EF7">
        <w:rPr>
          <w:rFonts w:ascii="Arial" w:hAnsi="Arial" w:cs="Arial"/>
          <w:lang w:val="en-US"/>
        </w:rPr>
        <w:t>this stance and a discussion is being initiated to study the possibilities and their feasibility</w:t>
      </w:r>
      <w:r w:rsidRPr="00F03EF7">
        <w:rPr>
          <w:rFonts w:ascii="Arial" w:hAnsi="Arial" w:cs="Arial"/>
          <w:lang w:val="en-US"/>
        </w:rPr>
        <w:t xml:space="preserve"> in this regard</w:t>
      </w:r>
      <w:r w:rsidR="003504F2" w:rsidRPr="00F03EF7">
        <w:rPr>
          <w:rFonts w:ascii="Arial" w:hAnsi="Arial" w:cs="Arial"/>
          <w:lang w:val="en-US"/>
        </w:rPr>
        <w:t>.</w:t>
      </w:r>
    </w:p>
    <w:p w14:paraId="30AA640C" w14:textId="77777777" w:rsidR="00726F8D" w:rsidRPr="00D22E22" w:rsidRDefault="00726F8D" w:rsidP="00D22E22">
      <w:pPr>
        <w:pStyle w:val="Paragraphedeliste"/>
        <w:spacing w:after="0"/>
        <w:ind w:left="1080"/>
        <w:contextualSpacing w:val="0"/>
        <w:jc w:val="both"/>
        <w:rPr>
          <w:rFonts w:ascii="Arial" w:hAnsi="Arial" w:cs="Arial"/>
          <w:color w:val="1F497D" w:themeColor="text2"/>
        </w:rPr>
      </w:pPr>
    </w:p>
    <w:p w14:paraId="13CCF987" w14:textId="77777777" w:rsidR="00D22E22" w:rsidRPr="00D22E22" w:rsidRDefault="008B7CCE" w:rsidP="00D22E22">
      <w:pPr>
        <w:pStyle w:val="Paragraphedeliste"/>
        <w:numPr>
          <w:ilvl w:val="0"/>
          <w:numId w:val="3"/>
        </w:numPr>
        <w:spacing w:after="0"/>
        <w:contextualSpacing w:val="0"/>
        <w:jc w:val="both"/>
        <w:rPr>
          <w:rFonts w:ascii="Arial" w:hAnsi="Arial" w:cs="Arial"/>
          <w:color w:val="1F497D" w:themeColor="text2"/>
        </w:rPr>
      </w:pPr>
      <w:r w:rsidRPr="00D22E22">
        <w:rPr>
          <w:rFonts w:ascii="Arial" w:hAnsi="Arial" w:cs="Arial"/>
          <w:color w:val="1F497D" w:themeColor="text2"/>
        </w:rPr>
        <w:t>Where</w:t>
      </w:r>
      <w:r w:rsidR="00D22E22" w:rsidRPr="00D22E22">
        <w:rPr>
          <w:rFonts w:ascii="Arial" w:hAnsi="Arial" w:cs="Arial"/>
          <w:color w:val="1F497D" w:themeColor="text2"/>
        </w:rPr>
        <w:t xml:space="preserve"> applicable, an explanation of how the investment firm has used output of a consolidated tape provider established under Article 65 of Directive 2014/65/EU.</w:t>
      </w:r>
    </w:p>
    <w:p w14:paraId="398D695D" w14:textId="77777777" w:rsidR="00E57EFA" w:rsidRDefault="00E57EFA" w:rsidP="004D085C">
      <w:pPr>
        <w:spacing w:after="0"/>
        <w:jc w:val="both"/>
        <w:rPr>
          <w:rFonts w:ascii="Arial" w:hAnsi="Arial" w:cs="Arial"/>
          <w:color w:val="000000"/>
        </w:rPr>
      </w:pPr>
    </w:p>
    <w:p w14:paraId="010FECE8" w14:textId="29DEADEC" w:rsidR="005001DD" w:rsidRPr="00D22E22" w:rsidRDefault="00BC2BBC" w:rsidP="00D22E22">
      <w:pPr>
        <w:jc w:val="both"/>
        <w:rPr>
          <w:rFonts w:ascii="Arial" w:hAnsi="Arial" w:cs="Arial"/>
        </w:rPr>
      </w:pPr>
      <w:proofErr w:type="spellStart"/>
      <w:r>
        <w:rPr>
          <w:rFonts w:ascii="Arial" w:hAnsi="Arial" w:cs="Arial"/>
          <w:lang w:val="en-US"/>
        </w:rPr>
        <w:t>Asof</w:t>
      </w:r>
      <w:proofErr w:type="spellEnd"/>
      <w:r>
        <w:rPr>
          <w:rFonts w:ascii="Arial" w:hAnsi="Arial" w:cs="Arial"/>
          <w:lang w:val="en-US"/>
        </w:rPr>
        <w:t xml:space="preserve"> today, </w:t>
      </w:r>
      <w:r w:rsidR="00F06631">
        <w:rPr>
          <w:rFonts w:ascii="Arial" w:hAnsi="Arial" w:cs="Arial"/>
          <w:lang w:val="en-US"/>
        </w:rPr>
        <w:t xml:space="preserve">Credit Agricole Corporate and Investment Bank </w:t>
      </w:r>
      <w:r w:rsidR="00F03EF7">
        <w:rPr>
          <w:rFonts w:ascii="Arial" w:hAnsi="Arial" w:cs="Arial"/>
          <w:lang w:val="en-US"/>
        </w:rPr>
        <w:t xml:space="preserve">is not relying on </w:t>
      </w:r>
      <w:r w:rsidR="00A33C28">
        <w:rPr>
          <w:rFonts w:ascii="Arial" w:hAnsi="Arial" w:cs="Arial"/>
          <w:lang w:val="en-US"/>
        </w:rPr>
        <w:t xml:space="preserve">any </w:t>
      </w:r>
      <w:r w:rsidR="00F03EF7">
        <w:rPr>
          <w:rFonts w:ascii="Arial" w:hAnsi="Arial" w:cs="Arial"/>
          <w:lang w:val="en-US"/>
        </w:rPr>
        <w:t>data from consolidated tape provider</w:t>
      </w:r>
      <w:r w:rsidR="0040270A">
        <w:rPr>
          <w:rFonts w:ascii="Arial" w:hAnsi="Arial" w:cs="Arial"/>
          <w:color w:val="000000"/>
        </w:rPr>
        <w:t>.</w:t>
      </w:r>
    </w:p>
    <w:sectPr w:rsidR="005001DD" w:rsidRPr="00D22E2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7CD38" w14:textId="77777777" w:rsidR="0067454B" w:rsidRDefault="0067454B" w:rsidP="00767339">
      <w:pPr>
        <w:spacing w:after="0" w:line="240" w:lineRule="auto"/>
      </w:pPr>
      <w:r>
        <w:separator/>
      </w:r>
    </w:p>
  </w:endnote>
  <w:endnote w:type="continuationSeparator" w:id="0">
    <w:p w14:paraId="149B1243" w14:textId="77777777" w:rsidR="0067454B" w:rsidRDefault="0067454B" w:rsidP="00767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76420"/>
      <w:docPartObj>
        <w:docPartGallery w:val="Page Numbers (Bottom of Page)"/>
        <w:docPartUnique/>
      </w:docPartObj>
    </w:sdtPr>
    <w:sdtEndPr>
      <w:rPr>
        <w:sz w:val="18"/>
        <w:szCs w:val="18"/>
      </w:rPr>
    </w:sdtEndPr>
    <w:sdtContent>
      <w:p w14:paraId="364E1D03" w14:textId="31D610E0" w:rsidR="006E7A4A" w:rsidRPr="006F026F" w:rsidRDefault="006E7A4A">
        <w:pPr>
          <w:pStyle w:val="Pieddepage"/>
          <w:jc w:val="right"/>
          <w:rPr>
            <w:sz w:val="18"/>
            <w:szCs w:val="18"/>
          </w:rPr>
        </w:pPr>
        <w:r w:rsidRPr="006F026F">
          <w:rPr>
            <w:sz w:val="18"/>
            <w:szCs w:val="18"/>
          </w:rPr>
          <w:fldChar w:fldCharType="begin"/>
        </w:r>
        <w:r w:rsidRPr="006F026F">
          <w:rPr>
            <w:sz w:val="18"/>
            <w:szCs w:val="18"/>
          </w:rPr>
          <w:instrText>PAGE   \* MERGEFORMAT</w:instrText>
        </w:r>
        <w:r w:rsidRPr="006F026F">
          <w:rPr>
            <w:sz w:val="18"/>
            <w:szCs w:val="18"/>
          </w:rPr>
          <w:fldChar w:fldCharType="separate"/>
        </w:r>
        <w:r w:rsidR="0088792D" w:rsidRPr="0088792D">
          <w:rPr>
            <w:noProof/>
            <w:sz w:val="18"/>
            <w:szCs w:val="18"/>
            <w:lang w:val="fr-FR"/>
          </w:rPr>
          <w:t>10</w:t>
        </w:r>
        <w:r w:rsidRPr="006F026F">
          <w:rPr>
            <w:sz w:val="18"/>
            <w:szCs w:val="18"/>
          </w:rPr>
          <w:fldChar w:fldCharType="end"/>
        </w:r>
      </w:p>
    </w:sdtContent>
  </w:sdt>
  <w:p w14:paraId="6DBBD0AE" w14:textId="77777777" w:rsidR="006E7A4A" w:rsidRDefault="006E7A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82B4A" w14:textId="77777777" w:rsidR="0067454B" w:rsidRDefault="0067454B" w:rsidP="00767339">
      <w:pPr>
        <w:spacing w:after="0" w:line="240" w:lineRule="auto"/>
      </w:pPr>
      <w:r>
        <w:separator/>
      </w:r>
    </w:p>
  </w:footnote>
  <w:footnote w:type="continuationSeparator" w:id="0">
    <w:p w14:paraId="0678E881" w14:textId="77777777" w:rsidR="0067454B" w:rsidRDefault="0067454B" w:rsidP="00767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DCF58" w14:textId="77777777" w:rsidR="00767339" w:rsidRDefault="00767339">
    <w:pPr>
      <w:pStyle w:val="En-tte"/>
    </w:pPr>
    <w:r>
      <w:ptab w:relativeTo="margin" w:alignment="center" w:leader="none"/>
    </w:r>
    <w:r>
      <w:ptab w:relativeTo="margin" w:alignment="right" w:leader="none"/>
    </w:r>
    <w:r>
      <w:rPr>
        <w:noProof/>
        <w:lang w:val="fr-FR" w:eastAsia="ja-JP"/>
      </w:rPr>
      <w:drawing>
        <wp:inline distT="0" distB="0" distL="0" distR="0" wp14:anchorId="4E466B0E" wp14:editId="7E85D42B">
          <wp:extent cx="2419200" cy="266400"/>
          <wp:effectExtent l="0" t="0" r="635" b="635"/>
          <wp:docPr id="2" name="Picture 6" descr="logo.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8" descr="logo.eps"/>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200" cy="26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56D3"/>
    <w:multiLevelType w:val="hybridMultilevel"/>
    <w:tmpl w:val="2F3A3F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31706F"/>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12FC0BFF"/>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056DBA"/>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 w15:restartNumberingAfterBreak="0">
    <w:nsid w:val="1E5300FA"/>
    <w:multiLevelType w:val="hybridMultilevel"/>
    <w:tmpl w:val="306039E0"/>
    <w:lvl w:ilvl="0" w:tplc="F7BEBC30">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206160F6"/>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15:restartNumberingAfterBreak="0">
    <w:nsid w:val="23CA3150"/>
    <w:multiLevelType w:val="hybridMultilevel"/>
    <w:tmpl w:val="14705AC8"/>
    <w:lvl w:ilvl="0" w:tplc="283602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36615F"/>
    <w:multiLevelType w:val="hybridMultilevel"/>
    <w:tmpl w:val="A5D2DE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CD0915"/>
    <w:multiLevelType w:val="hybridMultilevel"/>
    <w:tmpl w:val="1BCCDD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25518B"/>
    <w:multiLevelType w:val="hybridMultilevel"/>
    <w:tmpl w:val="C092572E"/>
    <w:lvl w:ilvl="0" w:tplc="3D14A7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D658D"/>
    <w:multiLevelType w:val="hybridMultilevel"/>
    <w:tmpl w:val="4780768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8577F45"/>
    <w:multiLevelType w:val="hybridMultilevel"/>
    <w:tmpl w:val="A3A8F5B8"/>
    <w:lvl w:ilvl="0" w:tplc="1D34D860">
      <w:start w:val="1"/>
      <w:numFmt w:val="lowerLetter"/>
      <w:lvlText w:val="(%1)"/>
      <w:lvlJc w:val="left"/>
      <w:pPr>
        <w:ind w:left="720" w:hanging="720"/>
      </w:pPr>
      <w:rPr>
        <w:rFonts w:cs="Times New Roman"/>
        <w:color w:val="1F497D" w:themeColor="text2"/>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12" w15:restartNumberingAfterBreak="0">
    <w:nsid w:val="49D2483F"/>
    <w:multiLevelType w:val="hybridMultilevel"/>
    <w:tmpl w:val="ABDA40C0"/>
    <w:lvl w:ilvl="0" w:tplc="BE6A81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F60BDC"/>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15:restartNumberingAfterBreak="0">
    <w:nsid w:val="507C5EE7"/>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54B26A6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6" w15:restartNumberingAfterBreak="0">
    <w:nsid w:val="612167B6"/>
    <w:multiLevelType w:val="hybridMultilevel"/>
    <w:tmpl w:val="7E5AC242"/>
    <w:lvl w:ilvl="0" w:tplc="F4AE4488">
      <w:start w:val="1"/>
      <w:numFmt w:val="upperRoman"/>
      <w:lvlText w:val="%1."/>
      <w:lvlJc w:val="left"/>
      <w:pPr>
        <w:ind w:left="1080" w:hanging="720"/>
      </w:pPr>
      <w:rPr>
        <w:rFonts w:asciiTheme="majorHAnsi" w:eastAsiaTheme="majorEastAsia" w:hAnsiTheme="majorHAnsi" w:cstheme="majorBidi" w:hint="default"/>
        <w:b/>
        <w:color w:val="365F91" w:themeColor="accent1" w:themeShade="BF"/>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283AC5"/>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48572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9"/>
  </w:num>
  <w:num w:numId="2">
    <w:abstractNumId w:val="6"/>
  </w:num>
  <w:num w:numId="3">
    <w:abstractNumId w:val="11"/>
  </w:num>
  <w:num w:numId="4">
    <w:abstractNumId w:val="11"/>
  </w:num>
  <w:num w:numId="5">
    <w:abstractNumId w:val="3"/>
  </w:num>
  <w:num w:numId="6">
    <w:abstractNumId w:val="13"/>
  </w:num>
  <w:num w:numId="7">
    <w:abstractNumId w:val="8"/>
  </w:num>
  <w:num w:numId="8">
    <w:abstractNumId w:val="14"/>
  </w:num>
  <w:num w:numId="9">
    <w:abstractNumId w:val="5"/>
  </w:num>
  <w:num w:numId="10">
    <w:abstractNumId w:val="1"/>
  </w:num>
  <w:num w:numId="11">
    <w:abstractNumId w:val="18"/>
  </w:num>
  <w:num w:numId="12">
    <w:abstractNumId w:val="15"/>
  </w:num>
  <w:num w:numId="13">
    <w:abstractNumId w:val="10"/>
  </w:num>
  <w:num w:numId="14">
    <w:abstractNumId w:val="4"/>
  </w:num>
  <w:num w:numId="15">
    <w:abstractNumId w:val="0"/>
  </w:num>
  <w:num w:numId="16">
    <w:abstractNumId w:val="12"/>
  </w:num>
  <w:num w:numId="17">
    <w:abstractNumId w:val="2"/>
  </w:num>
  <w:num w:numId="18">
    <w:abstractNumId w:val="7"/>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DD"/>
    <w:rsid w:val="00000F20"/>
    <w:rsid w:val="00006B90"/>
    <w:rsid w:val="00033CAC"/>
    <w:rsid w:val="00047B86"/>
    <w:rsid w:val="00054050"/>
    <w:rsid w:val="000640FC"/>
    <w:rsid w:val="00064C0C"/>
    <w:rsid w:val="00076D9E"/>
    <w:rsid w:val="000820BD"/>
    <w:rsid w:val="000A53B7"/>
    <w:rsid w:val="000B52C1"/>
    <w:rsid w:val="000B6271"/>
    <w:rsid w:val="000D4FBB"/>
    <w:rsid w:val="000E0EB0"/>
    <w:rsid w:val="000E3894"/>
    <w:rsid w:val="000F4B5A"/>
    <w:rsid w:val="0011184C"/>
    <w:rsid w:val="00111A67"/>
    <w:rsid w:val="00112A70"/>
    <w:rsid w:val="001547CD"/>
    <w:rsid w:val="00164A18"/>
    <w:rsid w:val="0016558A"/>
    <w:rsid w:val="00172D38"/>
    <w:rsid w:val="00177227"/>
    <w:rsid w:val="00177613"/>
    <w:rsid w:val="00196B52"/>
    <w:rsid w:val="001A6981"/>
    <w:rsid w:val="001D3FCA"/>
    <w:rsid w:val="001E4C9A"/>
    <w:rsid w:val="00204806"/>
    <w:rsid w:val="00223186"/>
    <w:rsid w:val="0023143D"/>
    <w:rsid w:val="00235749"/>
    <w:rsid w:val="0023588A"/>
    <w:rsid w:val="002427F9"/>
    <w:rsid w:val="002628D9"/>
    <w:rsid w:val="00272319"/>
    <w:rsid w:val="002747F4"/>
    <w:rsid w:val="00287FEA"/>
    <w:rsid w:val="002A3273"/>
    <w:rsid w:val="002B7D9F"/>
    <w:rsid w:val="002C3D09"/>
    <w:rsid w:val="002D5550"/>
    <w:rsid w:val="002E2D02"/>
    <w:rsid w:val="002E7752"/>
    <w:rsid w:val="002F74E6"/>
    <w:rsid w:val="00303C8C"/>
    <w:rsid w:val="003108B4"/>
    <w:rsid w:val="00321F4B"/>
    <w:rsid w:val="00326CFB"/>
    <w:rsid w:val="00330F8D"/>
    <w:rsid w:val="00334130"/>
    <w:rsid w:val="00334240"/>
    <w:rsid w:val="003504F2"/>
    <w:rsid w:val="00351522"/>
    <w:rsid w:val="00356B30"/>
    <w:rsid w:val="00363CF9"/>
    <w:rsid w:val="00367396"/>
    <w:rsid w:val="00371E00"/>
    <w:rsid w:val="00376FE6"/>
    <w:rsid w:val="003844B1"/>
    <w:rsid w:val="003A7639"/>
    <w:rsid w:val="003C47EA"/>
    <w:rsid w:val="003C678B"/>
    <w:rsid w:val="003D38A4"/>
    <w:rsid w:val="003E0BAE"/>
    <w:rsid w:val="003F2551"/>
    <w:rsid w:val="003F462C"/>
    <w:rsid w:val="0040270A"/>
    <w:rsid w:val="0040338E"/>
    <w:rsid w:val="00433739"/>
    <w:rsid w:val="0043378C"/>
    <w:rsid w:val="00440AFF"/>
    <w:rsid w:val="00444056"/>
    <w:rsid w:val="00470A44"/>
    <w:rsid w:val="00475252"/>
    <w:rsid w:val="00475CD6"/>
    <w:rsid w:val="004A1552"/>
    <w:rsid w:val="004A7523"/>
    <w:rsid w:val="004B4F7B"/>
    <w:rsid w:val="004D085C"/>
    <w:rsid w:val="004D58EC"/>
    <w:rsid w:val="004D72F6"/>
    <w:rsid w:val="004E15A9"/>
    <w:rsid w:val="004E2D49"/>
    <w:rsid w:val="005001DD"/>
    <w:rsid w:val="00510D25"/>
    <w:rsid w:val="00515ACD"/>
    <w:rsid w:val="00516EC6"/>
    <w:rsid w:val="005304C2"/>
    <w:rsid w:val="00532959"/>
    <w:rsid w:val="00535AC8"/>
    <w:rsid w:val="00543C64"/>
    <w:rsid w:val="00550177"/>
    <w:rsid w:val="005524C2"/>
    <w:rsid w:val="005656E1"/>
    <w:rsid w:val="00575B23"/>
    <w:rsid w:val="0059173E"/>
    <w:rsid w:val="005944B3"/>
    <w:rsid w:val="00596EF1"/>
    <w:rsid w:val="005C0871"/>
    <w:rsid w:val="005E0455"/>
    <w:rsid w:val="0062481E"/>
    <w:rsid w:val="00630704"/>
    <w:rsid w:val="00630E3C"/>
    <w:rsid w:val="00632BDD"/>
    <w:rsid w:val="0063550C"/>
    <w:rsid w:val="00636DC4"/>
    <w:rsid w:val="006374A4"/>
    <w:rsid w:val="00644077"/>
    <w:rsid w:val="00654F1B"/>
    <w:rsid w:val="006657B4"/>
    <w:rsid w:val="00673C38"/>
    <w:rsid w:val="0067454B"/>
    <w:rsid w:val="00680D1A"/>
    <w:rsid w:val="0069038F"/>
    <w:rsid w:val="00692A8E"/>
    <w:rsid w:val="00695C40"/>
    <w:rsid w:val="006A0280"/>
    <w:rsid w:val="006A2B32"/>
    <w:rsid w:val="006A4877"/>
    <w:rsid w:val="006D0849"/>
    <w:rsid w:val="006E0AF6"/>
    <w:rsid w:val="006E7A4A"/>
    <w:rsid w:val="006F026F"/>
    <w:rsid w:val="00706BDC"/>
    <w:rsid w:val="00726F8D"/>
    <w:rsid w:val="007342D4"/>
    <w:rsid w:val="0073493E"/>
    <w:rsid w:val="00742B12"/>
    <w:rsid w:val="00751445"/>
    <w:rsid w:val="00767339"/>
    <w:rsid w:val="00767A8E"/>
    <w:rsid w:val="00781861"/>
    <w:rsid w:val="00787620"/>
    <w:rsid w:val="00795C6B"/>
    <w:rsid w:val="007A7726"/>
    <w:rsid w:val="007C7210"/>
    <w:rsid w:val="007D0329"/>
    <w:rsid w:val="007F522B"/>
    <w:rsid w:val="007F5FDC"/>
    <w:rsid w:val="008100FC"/>
    <w:rsid w:val="00822F17"/>
    <w:rsid w:val="00825A7E"/>
    <w:rsid w:val="008605B0"/>
    <w:rsid w:val="008773BD"/>
    <w:rsid w:val="0088792D"/>
    <w:rsid w:val="008A206A"/>
    <w:rsid w:val="008A3291"/>
    <w:rsid w:val="008A420F"/>
    <w:rsid w:val="008B5335"/>
    <w:rsid w:val="008B5E00"/>
    <w:rsid w:val="008B611C"/>
    <w:rsid w:val="008B7CCE"/>
    <w:rsid w:val="008C3800"/>
    <w:rsid w:val="008D530A"/>
    <w:rsid w:val="008F360A"/>
    <w:rsid w:val="008F4C16"/>
    <w:rsid w:val="008F6EB8"/>
    <w:rsid w:val="008F78FD"/>
    <w:rsid w:val="00900EFA"/>
    <w:rsid w:val="00902701"/>
    <w:rsid w:val="00907BF9"/>
    <w:rsid w:val="00912225"/>
    <w:rsid w:val="00913455"/>
    <w:rsid w:val="0091394E"/>
    <w:rsid w:val="00916DC0"/>
    <w:rsid w:val="0093092D"/>
    <w:rsid w:val="009341D6"/>
    <w:rsid w:val="009345B0"/>
    <w:rsid w:val="0094345F"/>
    <w:rsid w:val="0094613C"/>
    <w:rsid w:val="0094795F"/>
    <w:rsid w:val="00955790"/>
    <w:rsid w:val="00965488"/>
    <w:rsid w:val="00974792"/>
    <w:rsid w:val="00997DFE"/>
    <w:rsid w:val="009A0D32"/>
    <w:rsid w:val="009C0A77"/>
    <w:rsid w:val="009D5BDE"/>
    <w:rsid w:val="009D5F27"/>
    <w:rsid w:val="009E6B5C"/>
    <w:rsid w:val="009F5B90"/>
    <w:rsid w:val="009F64EC"/>
    <w:rsid w:val="00A00EB7"/>
    <w:rsid w:val="00A169DF"/>
    <w:rsid w:val="00A33C28"/>
    <w:rsid w:val="00A34DF4"/>
    <w:rsid w:val="00A36FB6"/>
    <w:rsid w:val="00A370F5"/>
    <w:rsid w:val="00A4314C"/>
    <w:rsid w:val="00A44B1A"/>
    <w:rsid w:val="00A47D74"/>
    <w:rsid w:val="00A536C5"/>
    <w:rsid w:val="00A61CA7"/>
    <w:rsid w:val="00A7246F"/>
    <w:rsid w:val="00A83BB8"/>
    <w:rsid w:val="00AB633B"/>
    <w:rsid w:val="00AC1865"/>
    <w:rsid w:val="00AC5438"/>
    <w:rsid w:val="00AD0626"/>
    <w:rsid w:val="00AD38EC"/>
    <w:rsid w:val="00AE5EF2"/>
    <w:rsid w:val="00AF7DEE"/>
    <w:rsid w:val="00B00CB6"/>
    <w:rsid w:val="00B07E50"/>
    <w:rsid w:val="00B20214"/>
    <w:rsid w:val="00B23E1F"/>
    <w:rsid w:val="00B3471A"/>
    <w:rsid w:val="00B419F4"/>
    <w:rsid w:val="00B41B29"/>
    <w:rsid w:val="00B468A4"/>
    <w:rsid w:val="00B50098"/>
    <w:rsid w:val="00B5114C"/>
    <w:rsid w:val="00B63F25"/>
    <w:rsid w:val="00B71F19"/>
    <w:rsid w:val="00B75A2E"/>
    <w:rsid w:val="00B77AAF"/>
    <w:rsid w:val="00B91FE8"/>
    <w:rsid w:val="00B96D8B"/>
    <w:rsid w:val="00BC2BBC"/>
    <w:rsid w:val="00BD59B4"/>
    <w:rsid w:val="00BF6104"/>
    <w:rsid w:val="00C00492"/>
    <w:rsid w:val="00C147CC"/>
    <w:rsid w:val="00C172A2"/>
    <w:rsid w:val="00C2153B"/>
    <w:rsid w:val="00C35743"/>
    <w:rsid w:val="00C55555"/>
    <w:rsid w:val="00C557C5"/>
    <w:rsid w:val="00C7642F"/>
    <w:rsid w:val="00C76F92"/>
    <w:rsid w:val="00C81951"/>
    <w:rsid w:val="00C84E05"/>
    <w:rsid w:val="00C8652B"/>
    <w:rsid w:val="00C93ECC"/>
    <w:rsid w:val="00CA7072"/>
    <w:rsid w:val="00CB024C"/>
    <w:rsid w:val="00CB4295"/>
    <w:rsid w:val="00CE01C6"/>
    <w:rsid w:val="00D21B88"/>
    <w:rsid w:val="00D22E22"/>
    <w:rsid w:val="00D305EE"/>
    <w:rsid w:val="00D4305D"/>
    <w:rsid w:val="00D67845"/>
    <w:rsid w:val="00D759E4"/>
    <w:rsid w:val="00D96241"/>
    <w:rsid w:val="00DA30C6"/>
    <w:rsid w:val="00DF20EE"/>
    <w:rsid w:val="00E04DC2"/>
    <w:rsid w:val="00E17C95"/>
    <w:rsid w:val="00E2731D"/>
    <w:rsid w:val="00E31F5C"/>
    <w:rsid w:val="00E321E4"/>
    <w:rsid w:val="00E3611F"/>
    <w:rsid w:val="00E57EFA"/>
    <w:rsid w:val="00E62CBD"/>
    <w:rsid w:val="00E775F0"/>
    <w:rsid w:val="00E94542"/>
    <w:rsid w:val="00EB5A72"/>
    <w:rsid w:val="00EC677B"/>
    <w:rsid w:val="00ED46E3"/>
    <w:rsid w:val="00EE423E"/>
    <w:rsid w:val="00EE76D2"/>
    <w:rsid w:val="00EF3C3B"/>
    <w:rsid w:val="00F03EF7"/>
    <w:rsid w:val="00F06631"/>
    <w:rsid w:val="00F235FE"/>
    <w:rsid w:val="00F27103"/>
    <w:rsid w:val="00F36363"/>
    <w:rsid w:val="00F4202B"/>
    <w:rsid w:val="00F825C9"/>
    <w:rsid w:val="00F92287"/>
    <w:rsid w:val="00FB17A0"/>
    <w:rsid w:val="00FB5D48"/>
    <w:rsid w:val="00FC2EF7"/>
    <w:rsid w:val="00FC3B9D"/>
    <w:rsid w:val="00FF4D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5B38"/>
  <w15:docId w15:val="{517C6A2D-AEAA-491E-A7D6-F0E3C080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363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01DD"/>
    <w:pPr>
      <w:ind w:left="720"/>
      <w:contextualSpacing/>
    </w:pPr>
  </w:style>
  <w:style w:type="paragraph" w:customStyle="1" w:styleId="Default">
    <w:name w:val="Default"/>
    <w:rsid w:val="005001DD"/>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500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01DD"/>
    <w:rPr>
      <w:rFonts w:ascii="Tahoma" w:hAnsi="Tahoma" w:cs="Tahoma"/>
      <w:sz w:val="16"/>
      <w:szCs w:val="16"/>
    </w:rPr>
  </w:style>
  <w:style w:type="paragraph" w:styleId="En-tte">
    <w:name w:val="header"/>
    <w:basedOn w:val="Normal"/>
    <w:link w:val="En-tteCar"/>
    <w:uiPriority w:val="99"/>
    <w:unhideWhenUsed/>
    <w:rsid w:val="00767339"/>
    <w:pPr>
      <w:tabs>
        <w:tab w:val="center" w:pos="4513"/>
        <w:tab w:val="right" w:pos="9026"/>
      </w:tabs>
      <w:spacing w:before="120" w:after="0" w:line="240" w:lineRule="auto"/>
    </w:pPr>
    <w:rPr>
      <w:sz w:val="20"/>
    </w:rPr>
  </w:style>
  <w:style w:type="character" w:customStyle="1" w:styleId="En-tteCar">
    <w:name w:val="En-tête Car"/>
    <w:basedOn w:val="Policepardfaut"/>
    <w:link w:val="En-tte"/>
    <w:uiPriority w:val="99"/>
    <w:rsid w:val="00767339"/>
    <w:rPr>
      <w:sz w:val="20"/>
    </w:rPr>
  </w:style>
  <w:style w:type="paragraph" w:styleId="Pieddepage">
    <w:name w:val="footer"/>
    <w:basedOn w:val="Normal"/>
    <w:link w:val="PieddepageCar"/>
    <w:uiPriority w:val="99"/>
    <w:unhideWhenUsed/>
    <w:rsid w:val="007673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7339"/>
  </w:style>
  <w:style w:type="paragraph" w:styleId="Notedefin">
    <w:name w:val="endnote text"/>
    <w:basedOn w:val="Normal"/>
    <w:link w:val="NotedefinCar"/>
    <w:uiPriority w:val="99"/>
    <w:semiHidden/>
    <w:unhideWhenUsed/>
    <w:rsid w:val="00767339"/>
    <w:pPr>
      <w:spacing w:after="0" w:line="240" w:lineRule="auto"/>
    </w:pPr>
    <w:rPr>
      <w:sz w:val="20"/>
      <w:szCs w:val="20"/>
    </w:rPr>
  </w:style>
  <w:style w:type="character" w:customStyle="1" w:styleId="NotedefinCar">
    <w:name w:val="Note de fin Car"/>
    <w:basedOn w:val="Policepardfaut"/>
    <w:link w:val="Notedefin"/>
    <w:uiPriority w:val="99"/>
    <w:semiHidden/>
    <w:rsid w:val="00767339"/>
    <w:rPr>
      <w:sz w:val="20"/>
      <w:szCs w:val="20"/>
    </w:rPr>
  </w:style>
  <w:style w:type="character" w:styleId="Appeldenotedefin">
    <w:name w:val="endnote reference"/>
    <w:basedOn w:val="Policepardfaut"/>
    <w:uiPriority w:val="99"/>
    <w:semiHidden/>
    <w:unhideWhenUsed/>
    <w:rsid w:val="00767339"/>
    <w:rPr>
      <w:vertAlign w:val="superscript"/>
    </w:rPr>
  </w:style>
  <w:style w:type="paragraph" w:styleId="Notedebasdepage">
    <w:name w:val="footnote text"/>
    <w:basedOn w:val="Normal"/>
    <w:link w:val="NotedebasdepageCar"/>
    <w:uiPriority w:val="99"/>
    <w:semiHidden/>
    <w:unhideWhenUsed/>
    <w:rsid w:val="0076733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7339"/>
    <w:rPr>
      <w:sz w:val="20"/>
      <w:szCs w:val="20"/>
    </w:rPr>
  </w:style>
  <w:style w:type="character" w:styleId="Appelnotedebasdep">
    <w:name w:val="footnote reference"/>
    <w:basedOn w:val="Policepardfaut"/>
    <w:uiPriority w:val="99"/>
    <w:semiHidden/>
    <w:unhideWhenUsed/>
    <w:rsid w:val="00767339"/>
    <w:rPr>
      <w:vertAlign w:val="superscript"/>
    </w:rPr>
  </w:style>
  <w:style w:type="character" w:styleId="Lienhypertexte">
    <w:name w:val="Hyperlink"/>
    <w:basedOn w:val="Policepardfaut"/>
    <w:uiPriority w:val="99"/>
    <w:unhideWhenUsed/>
    <w:rsid w:val="00767339"/>
    <w:rPr>
      <w:color w:val="0000FF" w:themeColor="hyperlink"/>
      <w:u w:val="single"/>
    </w:rPr>
  </w:style>
  <w:style w:type="character" w:styleId="Marquedecommentaire">
    <w:name w:val="annotation reference"/>
    <w:basedOn w:val="Policepardfaut"/>
    <w:uiPriority w:val="99"/>
    <w:semiHidden/>
    <w:unhideWhenUsed/>
    <w:rsid w:val="0023588A"/>
    <w:rPr>
      <w:sz w:val="16"/>
      <w:szCs w:val="16"/>
    </w:rPr>
  </w:style>
  <w:style w:type="paragraph" w:styleId="Commentaire">
    <w:name w:val="annotation text"/>
    <w:basedOn w:val="Normal"/>
    <w:link w:val="CommentaireCar"/>
    <w:uiPriority w:val="99"/>
    <w:semiHidden/>
    <w:unhideWhenUsed/>
    <w:rsid w:val="0023588A"/>
    <w:pPr>
      <w:spacing w:line="240" w:lineRule="auto"/>
    </w:pPr>
    <w:rPr>
      <w:sz w:val="20"/>
      <w:szCs w:val="20"/>
    </w:rPr>
  </w:style>
  <w:style w:type="character" w:customStyle="1" w:styleId="CommentaireCar">
    <w:name w:val="Commentaire Car"/>
    <w:basedOn w:val="Policepardfaut"/>
    <w:link w:val="Commentaire"/>
    <w:uiPriority w:val="99"/>
    <w:semiHidden/>
    <w:rsid w:val="0023588A"/>
    <w:rPr>
      <w:sz w:val="20"/>
      <w:szCs w:val="20"/>
    </w:rPr>
  </w:style>
  <w:style w:type="paragraph" w:styleId="Objetducommentaire">
    <w:name w:val="annotation subject"/>
    <w:basedOn w:val="Commentaire"/>
    <w:next w:val="Commentaire"/>
    <w:link w:val="ObjetducommentaireCar"/>
    <w:uiPriority w:val="99"/>
    <w:semiHidden/>
    <w:unhideWhenUsed/>
    <w:rsid w:val="0023588A"/>
    <w:rPr>
      <w:b/>
      <w:bCs/>
    </w:rPr>
  </w:style>
  <w:style w:type="character" w:customStyle="1" w:styleId="ObjetducommentaireCar">
    <w:name w:val="Objet du commentaire Car"/>
    <w:basedOn w:val="CommentaireCar"/>
    <w:link w:val="Objetducommentaire"/>
    <w:uiPriority w:val="99"/>
    <w:semiHidden/>
    <w:rsid w:val="0023588A"/>
    <w:rPr>
      <w:b/>
      <w:bCs/>
      <w:sz w:val="20"/>
      <w:szCs w:val="20"/>
    </w:rPr>
  </w:style>
  <w:style w:type="paragraph" w:styleId="Rvision">
    <w:name w:val="Revision"/>
    <w:hidden/>
    <w:uiPriority w:val="99"/>
    <w:semiHidden/>
    <w:rsid w:val="0023588A"/>
    <w:pPr>
      <w:spacing w:after="0" w:line="240" w:lineRule="auto"/>
    </w:pPr>
  </w:style>
  <w:style w:type="paragraph" w:customStyle="1" w:styleId="CM1">
    <w:name w:val="CM1"/>
    <w:basedOn w:val="Default"/>
    <w:next w:val="Default"/>
    <w:uiPriority w:val="99"/>
    <w:rsid w:val="00235749"/>
    <w:rPr>
      <w:rFonts w:ascii="EUAlbertina" w:hAnsi="EUAlbertina" w:cstheme="minorBidi"/>
      <w:color w:val="auto"/>
      <w:lang w:val="fr-FR"/>
    </w:rPr>
  </w:style>
  <w:style w:type="paragraph" w:customStyle="1" w:styleId="CM3">
    <w:name w:val="CM3"/>
    <w:basedOn w:val="Default"/>
    <w:next w:val="Default"/>
    <w:uiPriority w:val="99"/>
    <w:rsid w:val="00235749"/>
    <w:rPr>
      <w:rFonts w:ascii="EUAlbertina" w:hAnsi="EUAlbertina" w:cstheme="minorBidi"/>
      <w:color w:val="auto"/>
      <w:lang w:val="fr-FR"/>
    </w:rPr>
  </w:style>
  <w:style w:type="character" w:styleId="Lienhypertextesuivivisit">
    <w:name w:val="FollowedHyperlink"/>
    <w:basedOn w:val="Policepardfaut"/>
    <w:uiPriority w:val="99"/>
    <w:semiHidden/>
    <w:unhideWhenUsed/>
    <w:rsid w:val="00AE5EF2"/>
    <w:rPr>
      <w:color w:val="800080" w:themeColor="followedHyperlink"/>
      <w:u w:val="single"/>
    </w:rPr>
  </w:style>
  <w:style w:type="character" w:customStyle="1" w:styleId="Titre1Car">
    <w:name w:val="Titre 1 Car"/>
    <w:basedOn w:val="Policepardfaut"/>
    <w:link w:val="Titre1"/>
    <w:uiPriority w:val="9"/>
    <w:rsid w:val="00F36363"/>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36363"/>
    <w:pPr>
      <w:outlineLvl w:val="9"/>
    </w:pPr>
    <w:rPr>
      <w:lang w:val="en-US" w:eastAsia="ja-JP"/>
    </w:rPr>
  </w:style>
  <w:style w:type="paragraph" w:styleId="TM2">
    <w:name w:val="toc 2"/>
    <w:basedOn w:val="Normal"/>
    <w:next w:val="Normal"/>
    <w:autoRedefine/>
    <w:uiPriority w:val="39"/>
    <w:semiHidden/>
    <w:unhideWhenUsed/>
    <w:qFormat/>
    <w:rsid w:val="00F36363"/>
    <w:pPr>
      <w:spacing w:after="100"/>
      <w:ind w:left="220"/>
    </w:pPr>
    <w:rPr>
      <w:rFonts w:eastAsiaTheme="minorEastAsia"/>
      <w:lang w:val="en-US" w:eastAsia="ja-JP"/>
    </w:rPr>
  </w:style>
  <w:style w:type="paragraph" w:styleId="TM1">
    <w:name w:val="toc 1"/>
    <w:basedOn w:val="Normal"/>
    <w:next w:val="Normal"/>
    <w:autoRedefine/>
    <w:uiPriority w:val="39"/>
    <w:unhideWhenUsed/>
    <w:qFormat/>
    <w:rsid w:val="00F36363"/>
    <w:pPr>
      <w:spacing w:after="100"/>
    </w:pPr>
    <w:rPr>
      <w:rFonts w:eastAsiaTheme="minorEastAsia"/>
      <w:lang w:val="en-US" w:eastAsia="ja-JP"/>
    </w:rPr>
  </w:style>
  <w:style w:type="paragraph" w:styleId="TM3">
    <w:name w:val="toc 3"/>
    <w:basedOn w:val="Normal"/>
    <w:next w:val="Normal"/>
    <w:autoRedefine/>
    <w:uiPriority w:val="39"/>
    <w:semiHidden/>
    <w:unhideWhenUsed/>
    <w:qFormat/>
    <w:rsid w:val="00F36363"/>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50919">
      <w:bodyDiv w:val="1"/>
      <w:marLeft w:val="0"/>
      <w:marRight w:val="0"/>
      <w:marTop w:val="0"/>
      <w:marBottom w:val="0"/>
      <w:divBdr>
        <w:top w:val="none" w:sz="0" w:space="0" w:color="auto"/>
        <w:left w:val="none" w:sz="0" w:space="0" w:color="auto"/>
        <w:bottom w:val="none" w:sz="0" w:space="0" w:color="auto"/>
        <w:right w:val="none" w:sz="0" w:space="0" w:color="auto"/>
      </w:divBdr>
    </w:div>
    <w:div w:id="457997326">
      <w:bodyDiv w:val="1"/>
      <w:marLeft w:val="0"/>
      <w:marRight w:val="0"/>
      <w:marTop w:val="0"/>
      <w:marBottom w:val="0"/>
      <w:divBdr>
        <w:top w:val="none" w:sz="0" w:space="0" w:color="auto"/>
        <w:left w:val="none" w:sz="0" w:space="0" w:color="auto"/>
        <w:bottom w:val="none" w:sz="0" w:space="0" w:color="auto"/>
        <w:right w:val="none" w:sz="0" w:space="0" w:color="auto"/>
      </w:divBdr>
    </w:div>
    <w:div w:id="573395654">
      <w:bodyDiv w:val="1"/>
      <w:marLeft w:val="0"/>
      <w:marRight w:val="0"/>
      <w:marTop w:val="0"/>
      <w:marBottom w:val="0"/>
      <w:divBdr>
        <w:top w:val="none" w:sz="0" w:space="0" w:color="auto"/>
        <w:left w:val="none" w:sz="0" w:space="0" w:color="auto"/>
        <w:bottom w:val="none" w:sz="0" w:space="0" w:color="auto"/>
        <w:right w:val="none" w:sz="0" w:space="0" w:color="auto"/>
      </w:divBdr>
    </w:div>
    <w:div w:id="637222098">
      <w:bodyDiv w:val="1"/>
      <w:marLeft w:val="0"/>
      <w:marRight w:val="0"/>
      <w:marTop w:val="0"/>
      <w:marBottom w:val="0"/>
      <w:divBdr>
        <w:top w:val="none" w:sz="0" w:space="0" w:color="auto"/>
        <w:left w:val="none" w:sz="0" w:space="0" w:color="auto"/>
        <w:bottom w:val="none" w:sz="0" w:space="0" w:color="auto"/>
        <w:right w:val="none" w:sz="0" w:space="0" w:color="auto"/>
      </w:divBdr>
    </w:div>
    <w:div w:id="641664839">
      <w:bodyDiv w:val="1"/>
      <w:marLeft w:val="0"/>
      <w:marRight w:val="0"/>
      <w:marTop w:val="0"/>
      <w:marBottom w:val="0"/>
      <w:divBdr>
        <w:top w:val="none" w:sz="0" w:space="0" w:color="auto"/>
        <w:left w:val="none" w:sz="0" w:space="0" w:color="auto"/>
        <w:bottom w:val="none" w:sz="0" w:space="0" w:color="auto"/>
        <w:right w:val="none" w:sz="0" w:space="0" w:color="auto"/>
      </w:divBdr>
    </w:div>
    <w:div w:id="792333574">
      <w:bodyDiv w:val="1"/>
      <w:marLeft w:val="0"/>
      <w:marRight w:val="0"/>
      <w:marTop w:val="0"/>
      <w:marBottom w:val="0"/>
      <w:divBdr>
        <w:top w:val="none" w:sz="0" w:space="0" w:color="auto"/>
        <w:left w:val="none" w:sz="0" w:space="0" w:color="auto"/>
        <w:bottom w:val="none" w:sz="0" w:space="0" w:color="auto"/>
        <w:right w:val="none" w:sz="0" w:space="0" w:color="auto"/>
      </w:divBdr>
    </w:div>
    <w:div w:id="881788877">
      <w:bodyDiv w:val="1"/>
      <w:marLeft w:val="0"/>
      <w:marRight w:val="0"/>
      <w:marTop w:val="0"/>
      <w:marBottom w:val="0"/>
      <w:divBdr>
        <w:top w:val="none" w:sz="0" w:space="0" w:color="auto"/>
        <w:left w:val="none" w:sz="0" w:space="0" w:color="auto"/>
        <w:bottom w:val="none" w:sz="0" w:space="0" w:color="auto"/>
        <w:right w:val="none" w:sz="0" w:space="0" w:color="auto"/>
      </w:divBdr>
    </w:div>
    <w:div w:id="1063213960">
      <w:bodyDiv w:val="1"/>
      <w:marLeft w:val="0"/>
      <w:marRight w:val="0"/>
      <w:marTop w:val="0"/>
      <w:marBottom w:val="0"/>
      <w:divBdr>
        <w:top w:val="none" w:sz="0" w:space="0" w:color="auto"/>
        <w:left w:val="none" w:sz="0" w:space="0" w:color="auto"/>
        <w:bottom w:val="none" w:sz="0" w:space="0" w:color="auto"/>
        <w:right w:val="none" w:sz="0" w:space="0" w:color="auto"/>
      </w:divBdr>
    </w:div>
    <w:div w:id="1082068051">
      <w:bodyDiv w:val="1"/>
      <w:marLeft w:val="0"/>
      <w:marRight w:val="0"/>
      <w:marTop w:val="0"/>
      <w:marBottom w:val="0"/>
      <w:divBdr>
        <w:top w:val="none" w:sz="0" w:space="0" w:color="auto"/>
        <w:left w:val="none" w:sz="0" w:space="0" w:color="auto"/>
        <w:bottom w:val="none" w:sz="0" w:space="0" w:color="auto"/>
        <w:right w:val="none" w:sz="0" w:space="0" w:color="auto"/>
      </w:divBdr>
    </w:div>
    <w:div w:id="1143735304">
      <w:bodyDiv w:val="1"/>
      <w:marLeft w:val="0"/>
      <w:marRight w:val="0"/>
      <w:marTop w:val="0"/>
      <w:marBottom w:val="0"/>
      <w:divBdr>
        <w:top w:val="none" w:sz="0" w:space="0" w:color="auto"/>
        <w:left w:val="none" w:sz="0" w:space="0" w:color="auto"/>
        <w:bottom w:val="none" w:sz="0" w:space="0" w:color="auto"/>
        <w:right w:val="none" w:sz="0" w:space="0" w:color="auto"/>
      </w:divBdr>
    </w:div>
    <w:div w:id="1303270668">
      <w:bodyDiv w:val="1"/>
      <w:marLeft w:val="0"/>
      <w:marRight w:val="0"/>
      <w:marTop w:val="0"/>
      <w:marBottom w:val="0"/>
      <w:divBdr>
        <w:top w:val="none" w:sz="0" w:space="0" w:color="auto"/>
        <w:left w:val="none" w:sz="0" w:space="0" w:color="auto"/>
        <w:bottom w:val="none" w:sz="0" w:space="0" w:color="auto"/>
        <w:right w:val="none" w:sz="0" w:space="0" w:color="auto"/>
      </w:divBdr>
    </w:div>
    <w:div w:id="1315254980">
      <w:bodyDiv w:val="1"/>
      <w:marLeft w:val="0"/>
      <w:marRight w:val="0"/>
      <w:marTop w:val="0"/>
      <w:marBottom w:val="0"/>
      <w:divBdr>
        <w:top w:val="none" w:sz="0" w:space="0" w:color="auto"/>
        <w:left w:val="none" w:sz="0" w:space="0" w:color="auto"/>
        <w:bottom w:val="none" w:sz="0" w:space="0" w:color="auto"/>
        <w:right w:val="none" w:sz="0" w:space="0" w:color="auto"/>
      </w:divBdr>
    </w:div>
    <w:div w:id="1610627333">
      <w:bodyDiv w:val="1"/>
      <w:marLeft w:val="0"/>
      <w:marRight w:val="0"/>
      <w:marTop w:val="0"/>
      <w:marBottom w:val="0"/>
      <w:divBdr>
        <w:top w:val="none" w:sz="0" w:space="0" w:color="auto"/>
        <w:left w:val="none" w:sz="0" w:space="0" w:color="auto"/>
        <w:bottom w:val="none" w:sz="0" w:space="0" w:color="auto"/>
        <w:right w:val="none" w:sz="0" w:space="0" w:color="auto"/>
      </w:divBdr>
    </w:div>
    <w:div w:id="1615794057">
      <w:bodyDiv w:val="1"/>
      <w:marLeft w:val="0"/>
      <w:marRight w:val="0"/>
      <w:marTop w:val="0"/>
      <w:marBottom w:val="0"/>
      <w:divBdr>
        <w:top w:val="none" w:sz="0" w:space="0" w:color="auto"/>
        <w:left w:val="none" w:sz="0" w:space="0" w:color="auto"/>
        <w:bottom w:val="none" w:sz="0" w:space="0" w:color="auto"/>
        <w:right w:val="none" w:sz="0" w:space="0" w:color="auto"/>
      </w:divBdr>
    </w:div>
    <w:div w:id="1622375988">
      <w:bodyDiv w:val="1"/>
      <w:marLeft w:val="0"/>
      <w:marRight w:val="0"/>
      <w:marTop w:val="0"/>
      <w:marBottom w:val="0"/>
      <w:divBdr>
        <w:top w:val="none" w:sz="0" w:space="0" w:color="auto"/>
        <w:left w:val="none" w:sz="0" w:space="0" w:color="auto"/>
        <w:bottom w:val="none" w:sz="0" w:space="0" w:color="auto"/>
        <w:right w:val="none" w:sz="0" w:space="0" w:color="auto"/>
      </w:divBdr>
    </w:div>
    <w:div w:id="1678729463">
      <w:bodyDiv w:val="1"/>
      <w:marLeft w:val="0"/>
      <w:marRight w:val="0"/>
      <w:marTop w:val="0"/>
      <w:marBottom w:val="0"/>
      <w:divBdr>
        <w:top w:val="none" w:sz="0" w:space="0" w:color="auto"/>
        <w:left w:val="none" w:sz="0" w:space="0" w:color="auto"/>
        <w:bottom w:val="none" w:sz="0" w:space="0" w:color="auto"/>
        <w:right w:val="none" w:sz="0" w:space="0" w:color="auto"/>
      </w:divBdr>
    </w:div>
    <w:div w:id="1926961581">
      <w:bodyDiv w:val="1"/>
      <w:marLeft w:val="0"/>
      <w:marRight w:val="0"/>
      <w:marTop w:val="0"/>
      <w:marBottom w:val="0"/>
      <w:divBdr>
        <w:top w:val="none" w:sz="0" w:space="0" w:color="auto"/>
        <w:left w:val="none" w:sz="0" w:space="0" w:color="auto"/>
        <w:bottom w:val="none" w:sz="0" w:space="0" w:color="auto"/>
        <w:right w:val="none" w:sz="0" w:space="0" w:color="auto"/>
      </w:divBdr>
    </w:div>
    <w:div w:id="19950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17D99-C611-4CFF-8DD3-F109C6BF5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3302</Words>
  <Characters>18165</Characters>
  <Application>Microsoft Office Word</Application>
  <DocSecurity>0</DocSecurity>
  <Lines>151</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CA-CIB</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 Karima (CA-CIB)</dc:creator>
  <cp:lastModifiedBy>AMANOU, Herve (CA-CIB)</cp:lastModifiedBy>
  <cp:revision>9</cp:revision>
  <cp:lastPrinted>2018-04-30T10:39:00Z</cp:lastPrinted>
  <dcterms:created xsi:type="dcterms:W3CDTF">2022-03-28T08:14:00Z</dcterms:created>
  <dcterms:modified xsi:type="dcterms:W3CDTF">2023-02-23T07:57:00Z</dcterms:modified>
</cp:coreProperties>
</file>